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ind w:left="1077" w:right="641"/>
        <w:jc w:val="center"/>
        <w:rPr>
          <w:rFonts w:ascii="Arial" w:hAnsi="Arial" w:cs="Arial"/>
          <w:b/>
          <w:lang w:val="es-ES"/>
        </w:rPr>
      </w:pPr>
    </w:p>
    <w:p w:rsidR="00000000" w:rsidRDefault="00BC67ED">
      <w:pPr>
        <w:spacing w:line="480" w:lineRule="auto"/>
        <w:ind w:left="1077" w:right="641"/>
        <w:jc w:val="center"/>
        <w:rPr>
          <w:b/>
          <w:sz w:val="48"/>
          <w:szCs w:val="48"/>
          <w:lang w:val="es-ES"/>
        </w:rPr>
      </w:pPr>
      <w:r>
        <w:rPr>
          <w:b/>
          <w:sz w:val="48"/>
          <w:szCs w:val="48"/>
          <w:lang w:val="es-ES"/>
        </w:rPr>
        <w:t>CAPITULO I</w:t>
      </w:r>
    </w:p>
    <w:p w:rsidR="00000000" w:rsidRDefault="00BC67ED">
      <w:pPr>
        <w:ind w:left="1077" w:right="641"/>
        <w:jc w:val="both"/>
        <w:rPr>
          <w:b/>
          <w:lang w:val="es-ES"/>
        </w:rPr>
      </w:pPr>
    </w:p>
    <w:p w:rsidR="00000000" w:rsidRDefault="00BC67ED">
      <w:pPr>
        <w:ind w:left="1077" w:right="641"/>
        <w:jc w:val="both"/>
        <w:rPr>
          <w:b/>
          <w:lang w:val="es-ES"/>
        </w:rPr>
      </w:pPr>
    </w:p>
    <w:p w:rsidR="00000000" w:rsidRDefault="00BC67ED">
      <w:pPr>
        <w:ind w:left="1077" w:right="641"/>
        <w:jc w:val="both"/>
        <w:rPr>
          <w:b/>
          <w:lang w:val="es-ES"/>
        </w:rPr>
      </w:pPr>
    </w:p>
    <w:p w:rsidR="00000000" w:rsidRDefault="00BC67ED">
      <w:pPr>
        <w:ind w:left="1077" w:right="641"/>
        <w:jc w:val="both"/>
        <w:rPr>
          <w:b/>
          <w:lang w:val="es-ES"/>
        </w:rPr>
      </w:pPr>
    </w:p>
    <w:p w:rsidR="00000000" w:rsidRDefault="00BC67ED" w:rsidP="00BC67ED">
      <w:pPr>
        <w:numPr>
          <w:ilvl w:val="0"/>
          <w:numId w:val="35"/>
        </w:numPr>
        <w:tabs>
          <w:tab w:val="clear" w:pos="1068"/>
          <w:tab w:val="num" w:pos="540"/>
        </w:tabs>
        <w:spacing w:line="480" w:lineRule="auto"/>
        <w:ind w:left="0" w:right="641" w:firstLine="0"/>
        <w:jc w:val="both"/>
        <w:rPr>
          <w:b/>
          <w:sz w:val="32"/>
          <w:szCs w:val="32"/>
          <w:lang w:val="es-ES"/>
        </w:rPr>
      </w:pPr>
      <w:r>
        <w:rPr>
          <w:b/>
          <w:sz w:val="32"/>
          <w:szCs w:val="32"/>
          <w:lang w:val="es-ES"/>
        </w:rPr>
        <w:t>CONCEPTOS BÁSICOS SOBRE EL CÁNCER.</w:t>
      </w:r>
    </w:p>
    <w:p w:rsidR="00000000" w:rsidRDefault="00BC67ED">
      <w:pPr>
        <w:spacing w:line="480" w:lineRule="auto"/>
        <w:ind w:left="1077" w:right="641"/>
        <w:jc w:val="both"/>
        <w:rPr>
          <w:b/>
          <w:sz w:val="32"/>
          <w:szCs w:val="32"/>
          <w:lang w:val="es-ES"/>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t>Definición de Cáncer</w:t>
      </w:r>
      <w:r>
        <w:rPr>
          <w:rStyle w:val="Refdenotaalpie"/>
          <w:rFonts w:ascii="Arial" w:hAnsi="Arial" w:cs="Arial"/>
          <w:b/>
          <w:lang w:val="es-ES"/>
        </w:rPr>
        <w:footnoteReference w:id="2"/>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El término "Cáncer" se refiere a un grupo de enfermedades en las cuales las células crecen y se diseminan libremente por el cuerpo.</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Textoindependiente3"/>
        <w:tabs>
          <w:tab w:val="num" w:pos="720"/>
        </w:tabs>
        <w:spacing w:line="480" w:lineRule="auto"/>
        <w:ind w:left="708"/>
        <w:rPr>
          <w:rFonts w:cs="Arial"/>
          <w:szCs w:val="24"/>
        </w:rPr>
      </w:pPr>
      <w:r>
        <w:rPr>
          <w:rFonts w:cs="Arial"/>
          <w:szCs w:val="24"/>
        </w:rPr>
        <w:t>El cáncer es un crecimiento celular maligno</w:t>
      </w:r>
      <w:r>
        <w:rPr>
          <w:rFonts w:cs="Arial"/>
          <w:szCs w:val="24"/>
        </w:rPr>
        <w:t xml:space="preserve"> que se produce como resultado de un desarrollo incontrolado de células anormales o defectuosas, también denominado anaplásicas, que tienden a infiltrarse, extenderse y metastatizar, o invadir, otros tejidos, circundantes o distantes del organismo en el qu</w:t>
      </w:r>
      <w:r>
        <w:rPr>
          <w:rFonts w:cs="Arial"/>
          <w:szCs w:val="24"/>
        </w:rPr>
        <w:t>e se ha iniciado la enfermedad.</w:t>
      </w:r>
    </w:p>
    <w:p w:rsidR="00000000" w:rsidRDefault="00BC67ED">
      <w:pPr>
        <w:pStyle w:val="Textoindependiente3"/>
        <w:tabs>
          <w:tab w:val="num" w:pos="720"/>
        </w:tabs>
        <w:spacing w:line="480" w:lineRule="auto"/>
        <w:ind w:left="708"/>
        <w:rPr>
          <w:rFonts w:cs="Arial"/>
          <w:szCs w:val="24"/>
        </w:rPr>
        <w:sectPr w:rsidR="00000000">
          <w:headerReference w:type="even" r:id="rId7"/>
          <w:headerReference w:type="default" r:id="rId8"/>
          <w:footerReference w:type="even" r:id="rId9"/>
          <w:footerReference w:type="default" r:id="rId10"/>
          <w:headerReference w:type="first" r:id="rId11"/>
          <w:pgSz w:w="11907" w:h="16840" w:code="9"/>
          <w:pgMar w:top="2268" w:right="1361" w:bottom="2268" w:left="2268" w:header="737" w:footer="851" w:gutter="0"/>
          <w:pgNumType w:start="2"/>
          <w:cols w:space="708"/>
          <w:titlePg/>
          <w:docGrid w:linePitch="360"/>
        </w:sectPr>
      </w:pPr>
    </w:p>
    <w:p w:rsidR="00000000" w:rsidRDefault="00BC67ED">
      <w:pPr>
        <w:pStyle w:val="Textoindependiente3"/>
        <w:tabs>
          <w:tab w:val="num" w:pos="720"/>
        </w:tabs>
        <w:spacing w:line="480" w:lineRule="auto"/>
        <w:ind w:left="708"/>
        <w:rPr>
          <w:rFonts w:cs="Arial"/>
          <w:szCs w:val="24"/>
        </w:rPr>
      </w:pPr>
      <w:r>
        <w:rPr>
          <w:rFonts w:cs="Arial"/>
          <w:szCs w:val="24"/>
        </w:rPr>
        <w:lastRenderedPageBreak/>
        <w:t>Este proceso de creación de nuevos focos cancerígenos a partir de uno inicial recibe el nombre de metástasis.  La importancia de un diagnóstico precoz radica en que facilita la interrupción de la metástasis, e incluso la cu</w:t>
      </w:r>
      <w:r>
        <w:rPr>
          <w:rFonts w:cs="Arial"/>
          <w:szCs w:val="24"/>
        </w:rPr>
        <w:t>ración definitiva, se  logran al localizar y extirpar o destruir los focos tumorales primarios.</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Es difícil imaginarse a alguien que no haya escuchado acerca de esta enfermedad. Muchas personas de una forma u otra han sido afectadas por el cáncer; puede ser</w:t>
      </w:r>
      <w:r>
        <w:rPr>
          <w:rFonts w:ascii="Arial" w:hAnsi="Arial" w:cs="Arial"/>
          <w:sz w:val="24"/>
          <w:szCs w:val="24"/>
        </w:rPr>
        <w:t xml:space="preserve"> que un ser querido, una amistad, o quizá hasta ellos mismos sean sobrevivientes de esta enfermedad.</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Por eso, es importante que todas las personas tengan un conocimiento básico sobre el origen, el diagnóstico, las causas, la prevención y el tratamiento de</w:t>
      </w:r>
      <w:r>
        <w:rPr>
          <w:rFonts w:ascii="Arial" w:hAnsi="Arial" w:cs="Arial"/>
          <w:sz w:val="24"/>
          <w:szCs w:val="24"/>
        </w:rPr>
        <w:t>l cáncer.</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pStyle w:val="Ttulo1"/>
        <w:numPr>
          <w:ilvl w:val="1"/>
          <w:numId w:val="1"/>
        </w:numPr>
        <w:tabs>
          <w:tab w:val="num" w:pos="720"/>
        </w:tabs>
        <w:spacing w:line="480" w:lineRule="auto"/>
        <w:ind w:left="0" w:firstLine="0"/>
        <w:jc w:val="both"/>
        <w:rPr>
          <w:rFonts w:ascii="Arial" w:hAnsi="Arial" w:cs="Arial"/>
          <w:sz w:val="24"/>
          <w:u w:val="single"/>
        </w:rPr>
      </w:pPr>
      <w:r>
        <w:rPr>
          <w:rFonts w:ascii="Arial" w:hAnsi="Arial" w:cs="Arial"/>
          <w:sz w:val="24"/>
          <w:u w:val="single"/>
        </w:rPr>
        <w:t>Los Tumores Malignos y Benignos</w:t>
      </w:r>
      <w:r>
        <w:rPr>
          <w:rStyle w:val="Refdenotaalpie"/>
          <w:rFonts w:ascii="Arial" w:hAnsi="Arial" w:cs="Arial"/>
          <w:sz w:val="24"/>
          <w:u w:val="single"/>
        </w:rPr>
        <w:footnoteReference w:id="3"/>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Los tumores se clasifican en benignos y malignos, lo cual depende de si se diseminan por invasión o por metástasis. Los tumores benignos son tumores que no se pueden diseminar por invasión o por metástasis; por l</w:t>
      </w:r>
      <w:r>
        <w:rPr>
          <w:rFonts w:ascii="Arial" w:hAnsi="Arial" w:cs="Arial"/>
          <w:sz w:val="24"/>
          <w:szCs w:val="24"/>
        </w:rPr>
        <w:t xml:space="preserve">o tanto, sólo crecen localmente. Los tumores malignos </w:t>
      </w:r>
      <w:r>
        <w:rPr>
          <w:rFonts w:ascii="Arial" w:hAnsi="Arial" w:cs="Arial"/>
          <w:sz w:val="24"/>
          <w:szCs w:val="24"/>
        </w:rPr>
        <w:lastRenderedPageBreak/>
        <w:t xml:space="preserve">son tumores que se pueden diseminar por invasión y por metástasis. Por definición, el término "cáncer" se aplica sólo a los tumores malignos. </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pStyle w:val="Ttulo1"/>
        <w:numPr>
          <w:ilvl w:val="1"/>
          <w:numId w:val="1"/>
        </w:numPr>
        <w:tabs>
          <w:tab w:val="num" w:pos="720"/>
        </w:tabs>
        <w:spacing w:line="480" w:lineRule="auto"/>
        <w:ind w:left="0" w:firstLine="0"/>
        <w:jc w:val="both"/>
        <w:rPr>
          <w:rFonts w:ascii="Arial" w:hAnsi="Arial" w:cs="Arial"/>
          <w:sz w:val="24"/>
          <w:u w:val="single"/>
        </w:rPr>
      </w:pPr>
      <w:r>
        <w:rPr>
          <w:rFonts w:ascii="Arial" w:hAnsi="Arial" w:cs="Arial"/>
          <w:sz w:val="24"/>
          <w:u w:val="single"/>
        </w:rPr>
        <w:t>Por qué el cáncer puede ser peligroso</w:t>
      </w:r>
      <w:r>
        <w:rPr>
          <w:rStyle w:val="Refdenotaalpie"/>
          <w:rFonts w:ascii="Arial" w:hAnsi="Arial" w:cs="Arial"/>
          <w:sz w:val="24"/>
          <w:u w:val="single"/>
        </w:rPr>
        <w:footnoteReference w:id="4"/>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Un tumor maligno, u</w:t>
      </w:r>
      <w:r>
        <w:rPr>
          <w:rFonts w:ascii="Arial" w:hAnsi="Arial" w:cs="Arial"/>
          <w:sz w:val="24"/>
          <w:szCs w:val="24"/>
        </w:rPr>
        <w:t>n "cáncer", es un problema más serio para la salud que un tumor benigno, porque las células cancerosas se pueden diseminar a otras partes distantes del cuerpo. Por ejemplo, un melanoma (un cáncer de células pigmentadas) que se presenta en la piel puede ten</w:t>
      </w:r>
      <w:r>
        <w:rPr>
          <w:rFonts w:ascii="Arial" w:hAnsi="Arial" w:cs="Arial"/>
          <w:sz w:val="24"/>
          <w:szCs w:val="24"/>
        </w:rPr>
        <w:t>er células que entran al torrente sanguíneo y se diseminan a órganos distantes como el hígado o el cerebro. Las células cancerosas presentes en el hígado se llaman melanoma metastásico y no cáncer del hígado. Las metástasis comparten el nombre del tumor or</w:t>
      </w:r>
      <w:r>
        <w:rPr>
          <w:rFonts w:ascii="Arial" w:hAnsi="Arial" w:cs="Arial"/>
          <w:sz w:val="24"/>
          <w:szCs w:val="24"/>
        </w:rPr>
        <w:t>iginal "primario". Las células del melanoma que crecen en el cerebro o en el hígado pueden alterar las funciones de estos órganos vitales y por lo tanto poner la vida en peligro.</w:t>
      </w:r>
    </w:p>
    <w:p w:rsidR="00000000" w:rsidRDefault="00BC67ED">
      <w:pPr>
        <w:pStyle w:val="bodytext"/>
        <w:tabs>
          <w:tab w:val="num" w:pos="720"/>
        </w:tabs>
        <w:spacing w:before="0" w:beforeAutospacing="0" w:after="0" w:afterAutospacing="0" w:line="480" w:lineRule="auto"/>
        <w:jc w:val="both"/>
        <w:rPr>
          <w:rFonts w:ascii="Arial" w:hAnsi="Arial" w:cs="Arial"/>
          <w:b/>
          <w:sz w:val="24"/>
          <w:szCs w:val="24"/>
        </w:rPr>
      </w:pPr>
    </w:p>
    <w:p w:rsidR="00000000" w:rsidRDefault="00BC67ED">
      <w:pPr>
        <w:pStyle w:val="bodytext"/>
        <w:tabs>
          <w:tab w:val="num" w:pos="720"/>
        </w:tabs>
        <w:spacing w:before="0" w:beforeAutospacing="0" w:after="0" w:afterAutospacing="0" w:line="480" w:lineRule="auto"/>
        <w:jc w:val="both"/>
        <w:rPr>
          <w:rFonts w:ascii="Arial" w:hAnsi="Arial" w:cs="Arial"/>
          <w:b/>
          <w:sz w:val="24"/>
          <w:szCs w:val="24"/>
        </w:rPr>
      </w:pPr>
    </w:p>
    <w:p w:rsidR="00000000" w:rsidRDefault="00BC67ED">
      <w:pPr>
        <w:pStyle w:val="bodytext"/>
        <w:tabs>
          <w:tab w:val="num" w:pos="720"/>
        </w:tabs>
        <w:spacing w:before="0" w:beforeAutospacing="0" w:after="0" w:afterAutospacing="0" w:line="480" w:lineRule="auto"/>
        <w:jc w:val="both"/>
        <w:rPr>
          <w:rFonts w:ascii="Arial" w:hAnsi="Arial" w:cs="Arial"/>
          <w:b/>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rPr>
      </w:pPr>
      <w:r>
        <w:rPr>
          <w:rFonts w:ascii="Arial" w:hAnsi="Arial" w:cs="Arial"/>
          <w:b/>
        </w:rPr>
        <w:lastRenderedPageBreak/>
        <w:t>Los Diferentes Tipos de Cáncer</w:t>
      </w:r>
      <w:r>
        <w:rPr>
          <w:rFonts w:ascii="Arial" w:hAnsi="Arial" w:cs="Arial"/>
          <w:b/>
          <w:lang w:val="es-ES"/>
        </w:rPr>
        <w:t xml:space="preserve"> </w:t>
      </w:r>
      <w:r>
        <w:rPr>
          <w:rStyle w:val="Refdenotaalpie"/>
          <w:rFonts w:ascii="Arial" w:hAnsi="Arial" w:cs="Arial"/>
          <w:b/>
          <w:lang w:val="es-ES"/>
        </w:rPr>
        <w:footnoteReference w:id="5"/>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 xml:space="preserve">El cáncer puede surgir casi en cualquier </w:t>
      </w:r>
      <w:r>
        <w:rPr>
          <w:rFonts w:ascii="Arial" w:hAnsi="Arial" w:cs="Arial"/>
          <w:sz w:val="24"/>
          <w:szCs w:val="24"/>
        </w:rPr>
        <w:t>parte del cuerpo.</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bodytext"/>
        <w:numPr>
          <w:ilvl w:val="0"/>
          <w:numId w:val="2"/>
        </w:numPr>
        <w:tabs>
          <w:tab w:val="clear" w:pos="2160"/>
          <w:tab w:val="num" w:pos="1428"/>
          <w:tab w:val="num" w:pos="2340"/>
          <w:tab w:val="num" w:pos="2520"/>
        </w:tabs>
        <w:spacing w:before="0" w:beforeAutospacing="0" w:after="0" w:afterAutospacing="0" w:line="480" w:lineRule="auto"/>
        <w:ind w:left="708" w:firstLine="0"/>
        <w:jc w:val="both"/>
        <w:rPr>
          <w:rFonts w:ascii="Arial" w:hAnsi="Arial" w:cs="Arial"/>
          <w:sz w:val="24"/>
          <w:szCs w:val="24"/>
        </w:rPr>
      </w:pPr>
      <w:r>
        <w:rPr>
          <w:rFonts w:ascii="Arial" w:hAnsi="Arial" w:cs="Arial"/>
          <w:b/>
          <w:bCs/>
          <w:sz w:val="24"/>
          <w:szCs w:val="24"/>
        </w:rPr>
        <w:t>El carcinoma</w:t>
      </w:r>
      <w:r>
        <w:rPr>
          <w:rFonts w:ascii="Arial" w:hAnsi="Arial" w:cs="Arial"/>
          <w:sz w:val="24"/>
          <w:szCs w:val="24"/>
        </w:rPr>
        <w:t>, el más común entre los diferentes tipos de cáncer, proviene de las células que cubren las superficies externas e internas del cuerpo. Los cánceres de este tipo que ocurren con más frecuencia en los Estados Unidos son el cán</w:t>
      </w:r>
      <w:r>
        <w:rPr>
          <w:rFonts w:ascii="Arial" w:hAnsi="Arial" w:cs="Arial"/>
          <w:sz w:val="24"/>
          <w:szCs w:val="24"/>
        </w:rPr>
        <w:t>cer de pulmón, de seno y de colon.</w:t>
      </w:r>
    </w:p>
    <w:p w:rsidR="00000000" w:rsidRDefault="00BC67ED">
      <w:pPr>
        <w:pStyle w:val="bodytext"/>
        <w:tabs>
          <w:tab w:val="num" w:pos="2340"/>
          <w:tab w:val="num" w:pos="2520"/>
        </w:tabs>
        <w:spacing w:before="0" w:beforeAutospacing="0" w:after="0" w:afterAutospacing="0" w:line="480" w:lineRule="auto"/>
        <w:ind w:left="708"/>
        <w:jc w:val="both"/>
        <w:rPr>
          <w:rFonts w:ascii="Arial" w:hAnsi="Arial" w:cs="Arial"/>
          <w:sz w:val="24"/>
          <w:szCs w:val="24"/>
        </w:rPr>
      </w:pPr>
    </w:p>
    <w:p w:rsidR="00000000" w:rsidRDefault="00BC67ED">
      <w:pPr>
        <w:pStyle w:val="bodytext"/>
        <w:numPr>
          <w:ilvl w:val="0"/>
          <w:numId w:val="2"/>
        </w:numPr>
        <w:tabs>
          <w:tab w:val="clear" w:pos="2160"/>
          <w:tab w:val="num" w:pos="1428"/>
          <w:tab w:val="num" w:pos="2340"/>
          <w:tab w:val="num" w:pos="2520"/>
        </w:tabs>
        <w:spacing w:before="0" w:beforeAutospacing="0" w:after="0" w:afterAutospacing="0" w:line="480" w:lineRule="auto"/>
        <w:ind w:left="708" w:firstLine="0"/>
        <w:jc w:val="both"/>
        <w:rPr>
          <w:rFonts w:ascii="Arial" w:hAnsi="Arial" w:cs="Arial"/>
          <w:sz w:val="24"/>
          <w:szCs w:val="24"/>
        </w:rPr>
      </w:pPr>
      <w:r>
        <w:rPr>
          <w:rFonts w:ascii="Arial" w:hAnsi="Arial" w:cs="Arial"/>
          <w:b/>
          <w:bCs/>
          <w:sz w:val="24"/>
          <w:szCs w:val="24"/>
        </w:rPr>
        <w:t>Los sarcomas</w:t>
      </w:r>
      <w:r>
        <w:rPr>
          <w:rFonts w:ascii="Arial" w:hAnsi="Arial" w:cs="Arial"/>
          <w:sz w:val="24"/>
          <w:szCs w:val="24"/>
        </w:rPr>
        <w:t xml:space="preserve"> son cánceres que surgen de las células que se encuentran en los tejidos que sostienen el cuerpo como el hueso, el cartílago, el tejido conectivo, el músculo y la grasa.</w:t>
      </w:r>
    </w:p>
    <w:p w:rsidR="00000000" w:rsidRDefault="00BC67ED">
      <w:pPr>
        <w:pStyle w:val="bodytext"/>
        <w:tabs>
          <w:tab w:val="num" w:pos="2340"/>
          <w:tab w:val="num" w:pos="2520"/>
        </w:tabs>
        <w:spacing w:before="0" w:beforeAutospacing="0" w:after="0" w:afterAutospacing="0" w:line="480" w:lineRule="auto"/>
        <w:ind w:left="708"/>
        <w:jc w:val="both"/>
        <w:rPr>
          <w:rFonts w:ascii="Arial" w:hAnsi="Arial" w:cs="Arial"/>
          <w:sz w:val="24"/>
          <w:szCs w:val="24"/>
        </w:rPr>
      </w:pPr>
    </w:p>
    <w:p w:rsidR="00000000" w:rsidRDefault="00BC67ED">
      <w:pPr>
        <w:pStyle w:val="bodytext"/>
        <w:numPr>
          <w:ilvl w:val="0"/>
          <w:numId w:val="2"/>
        </w:numPr>
        <w:tabs>
          <w:tab w:val="clear" w:pos="2160"/>
          <w:tab w:val="num" w:pos="1428"/>
          <w:tab w:val="num" w:pos="2340"/>
          <w:tab w:val="num" w:pos="2520"/>
        </w:tabs>
        <w:spacing w:before="0" w:beforeAutospacing="0" w:after="0" w:afterAutospacing="0" w:line="480" w:lineRule="auto"/>
        <w:ind w:left="708" w:firstLine="0"/>
        <w:jc w:val="both"/>
        <w:rPr>
          <w:rFonts w:ascii="Arial" w:hAnsi="Arial" w:cs="Arial"/>
          <w:sz w:val="24"/>
          <w:szCs w:val="24"/>
        </w:rPr>
      </w:pPr>
      <w:r>
        <w:rPr>
          <w:rFonts w:ascii="Arial" w:hAnsi="Arial" w:cs="Arial"/>
          <w:b/>
          <w:bCs/>
          <w:sz w:val="24"/>
          <w:szCs w:val="24"/>
        </w:rPr>
        <w:t>Los linfomas</w:t>
      </w:r>
      <w:r>
        <w:rPr>
          <w:rFonts w:ascii="Arial" w:hAnsi="Arial" w:cs="Arial"/>
          <w:sz w:val="24"/>
          <w:szCs w:val="24"/>
        </w:rPr>
        <w:t xml:space="preserve"> son cánceres que se orig</w:t>
      </w:r>
      <w:r>
        <w:rPr>
          <w:rFonts w:ascii="Arial" w:hAnsi="Arial" w:cs="Arial"/>
          <w:sz w:val="24"/>
          <w:szCs w:val="24"/>
        </w:rPr>
        <w:t>inan en los ganglios linfáticos y en los tejidos del sistema inmune del cuerpo.</w:t>
      </w:r>
    </w:p>
    <w:p w:rsidR="00000000" w:rsidRDefault="00BC67ED">
      <w:pPr>
        <w:pStyle w:val="bodytext"/>
        <w:tabs>
          <w:tab w:val="num" w:pos="2340"/>
          <w:tab w:val="num" w:pos="2520"/>
        </w:tabs>
        <w:spacing w:before="0" w:beforeAutospacing="0" w:after="0" w:afterAutospacing="0" w:line="480" w:lineRule="auto"/>
        <w:ind w:left="708"/>
        <w:jc w:val="both"/>
        <w:rPr>
          <w:rFonts w:ascii="Arial" w:hAnsi="Arial" w:cs="Arial"/>
          <w:sz w:val="24"/>
          <w:szCs w:val="24"/>
        </w:rPr>
      </w:pPr>
    </w:p>
    <w:p w:rsidR="00000000" w:rsidRDefault="00BC67ED">
      <w:pPr>
        <w:pStyle w:val="bodytext"/>
        <w:numPr>
          <w:ilvl w:val="0"/>
          <w:numId w:val="2"/>
        </w:numPr>
        <w:tabs>
          <w:tab w:val="clear" w:pos="2160"/>
          <w:tab w:val="num" w:pos="1428"/>
          <w:tab w:val="num" w:pos="2340"/>
          <w:tab w:val="num" w:pos="2520"/>
        </w:tabs>
        <w:spacing w:before="0" w:beforeAutospacing="0" w:after="0" w:afterAutospacing="0" w:line="480" w:lineRule="auto"/>
        <w:ind w:left="708" w:firstLine="0"/>
        <w:jc w:val="both"/>
        <w:rPr>
          <w:sz w:val="24"/>
          <w:szCs w:val="24"/>
        </w:rPr>
      </w:pPr>
      <w:r>
        <w:rPr>
          <w:rFonts w:ascii="Arial" w:hAnsi="Arial" w:cs="Arial"/>
          <w:b/>
          <w:bCs/>
          <w:sz w:val="24"/>
          <w:szCs w:val="24"/>
        </w:rPr>
        <w:t>Las leucemias</w:t>
      </w:r>
      <w:r>
        <w:rPr>
          <w:rFonts w:ascii="Arial" w:hAnsi="Arial" w:cs="Arial"/>
          <w:sz w:val="24"/>
          <w:szCs w:val="24"/>
        </w:rPr>
        <w:t xml:space="preserve"> son cánceres de células inmaduras de la sangre producidas en la médula ósea y que tienden a acumularse en grandes cantidades dentro del torrente sanguíneo.</w:t>
      </w:r>
    </w:p>
    <w:p w:rsidR="00000000" w:rsidRDefault="00BC67ED">
      <w:pPr>
        <w:pStyle w:val="bodytext"/>
        <w:tabs>
          <w:tab w:val="num" w:pos="720"/>
          <w:tab w:val="num" w:pos="2520"/>
        </w:tabs>
        <w:spacing w:before="0" w:beforeAutospacing="0" w:after="0" w:afterAutospacing="0" w:line="480" w:lineRule="auto"/>
        <w:jc w:val="both"/>
        <w:rPr>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lastRenderedPageBreak/>
        <w:t>Nomb</w:t>
      </w:r>
      <w:r>
        <w:rPr>
          <w:rFonts w:ascii="Arial" w:hAnsi="Arial" w:cs="Arial"/>
          <w:b/>
        </w:rPr>
        <w:t>rando los Cánceres</w:t>
      </w:r>
      <w:r>
        <w:rPr>
          <w:rStyle w:val="Refdenotaalpie"/>
          <w:rFonts w:ascii="Arial" w:hAnsi="Arial" w:cs="Arial"/>
          <w:b/>
        </w:rPr>
        <w:footnoteReference w:id="6"/>
      </w:r>
    </w:p>
    <w:p w:rsidR="00000000" w:rsidRDefault="00BC67ED">
      <w:pPr>
        <w:pStyle w:val="bodytext"/>
        <w:tabs>
          <w:tab w:val="num" w:pos="720"/>
        </w:tabs>
        <w:spacing w:before="0" w:beforeAutospacing="0" w:after="0" w:afterAutospacing="0" w:line="480" w:lineRule="auto"/>
        <w:ind w:left="708"/>
        <w:jc w:val="both"/>
        <w:rPr>
          <w:rFonts w:ascii="Arial" w:hAnsi="Arial" w:cs="Arial"/>
          <w:sz w:val="16"/>
          <w:szCs w:val="16"/>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 xml:space="preserve">Los científicos utilizan una variedad de nombres técnicos para distinguir las diferentes clases de carcinomas, sarcomas, linfomas y leucemias. </w:t>
      </w:r>
    </w:p>
    <w:p w:rsidR="00000000" w:rsidRDefault="00BC67ED">
      <w:pPr>
        <w:pStyle w:val="bodytext"/>
        <w:tabs>
          <w:tab w:val="num" w:pos="720"/>
        </w:tabs>
        <w:spacing w:before="0" w:beforeAutospacing="0" w:after="0" w:afterAutospacing="0"/>
        <w:ind w:left="708"/>
        <w:jc w:val="both"/>
        <w:rPr>
          <w:rFonts w:ascii="Arial" w:hAnsi="Arial" w:cs="Arial"/>
          <w:sz w:val="16"/>
          <w:szCs w:val="16"/>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 xml:space="preserve">En general, estos nombres usan diferentes prefijos que representan el nombre de la célula </w:t>
      </w:r>
      <w:r>
        <w:rPr>
          <w:rFonts w:ascii="Arial" w:hAnsi="Arial" w:cs="Arial"/>
          <w:sz w:val="24"/>
          <w:szCs w:val="24"/>
        </w:rPr>
        <w:t>afectada. Por ejemplo, el prefijo "osteo" significa hueso, entonces un cáncer que surge del hueso se llama osteosarcoma. Similarmente, el prefijo "adeno" significa glándula; así pues, un cáncer que se presenta en las células de una glándula se llama adenoc</w:t>
      </w:r>
      <w:r>
        <w:rPr>
          <w:rFonts w:ascii="Arial" w:hAnsi="Arial" w:cs="Arial"/>
          <w:sz w:val="24"/>
          <w:szCs w:val="24"/>
        </w:rPr>
        <w:t>arcinoma. Un ejemplo sería el adenocarcinoma de seno.</w:t>
      </w:r>
    </w:p>
    <w:p w:rsidR="00000000" w:rsidRDefault="00BC67ED">
      <w:pPr>
        <w:pStyle w:val="bodytext"/>
        <w:tabs>
          <w:tab w:val="num" w:pos="720"/>
        </w:tabs>
        <w:spacing w:before="0" w:beforeAutospacing="0" w:after="0" w:afterAutospacing="0" w:line="480" w:lineRule="auto"/>
        <w:jc w:val="both"/>
        <w:rPr>
          <w:rFonts w:ascii="Arial" w:hAnsi="Arial" w:cs="Arial"/>
          <w:sz w:val="16"/>
          <w:szCs w:val="16"/>
        </w:rPr>
      </w:pPr>
    </w:p>
    <w:tbl>
      <w:tblPr>
        <w:tblW w:w="4541" w:type="dxa"/>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520"/>
      </w:tblGrid>
      <w:tr w:rsidR="00000000">
        <w:trPr>
          <w:trHeight w:val="186"/>
        </w:trPr>
        <w:tc>
          <w:tcPr>
            <w:tcW w:w="4541" w:type="dxa"/>
            <w:gridSpan w:val="2"/>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p>
          <w:p w:rsidR="00000000" w:rsidRDefault="00BC67ED">
            <w:pPr>
              <w:pStyle w:val="bodytext"/>
              <w:tabs>
                <w:tab w:val="num" w:pos="720"/>
                <w:tab w:val="num" w:pos="2520"/>
              </w:tabs>
              <w:spacing w:before="0" w:beforeAutospacing="0" w:after="0" w:afterAutospacing="0"/>
              <w:jc w:val="center"/>
              <w:rPr>
                <w:rFonts w:ascii="Arial" w:hAnsi="Arial" w:cs="Arial"/>
                <w:b/>
                <w:i/>
                <w:sz w:val="24"/>
                <w:szCs w:val="24"/>
              </w:rPr>
            </w:pPr>
            <w:r>
              <w:rPr>
                <w:rFonts w:ascii="Arial" w:hAnsi="Arial" w:cs="Arial"/>
                <w:b/>
                <w:i/>
                <w:sz w:val="24"/>
                <w:szCs w:val="24"/>
              </w:rPr>
              <w:t xml:space="preserve">ALGUNOS PREFIJOS  UTILIZADOS </w:t>
            </w:r>
          </w:p>
          <w:p w:rsidR="00000000" w:rsidRDefault="00BC67ED">
            <w:pPr>
              <w:pStyle w:val="bodytext"/>
              <w:tabs>
                <w:tab w:val="num" w:pos="720"/>
                <w:tab w:val="num" w:pos="2520"/>
              </w:tabs>
              <w:spacing w:before="0" w:beforeAutospacing="0" w:after="0" w:afterAutospacing="0"/>
              <w:jc w:val="center"/>
              <w:rPr>
                <w:rFonts w:ascii="Arial" w:hAnsi="Arial" w:cs="Arial"/>
                <w:b/>
                <w:i/>
                <w:sz w:val="24"/>
                <w:szCs w:val="24"/>
              </w:rPr>
            </w:pPr>
            <w:r>
              <w:rPr>
                <w:rFonts w:ascii="Arial" w:hAnsi="Arial" w:cs="Arial"/>
                <w:b/>
                <w:i/>
                <w:sz w:val="24"/>
                <w:szCs w:val="24"/>
              </w:rPr>
              <w:t>PARA NOMBRAR LOS CÁNCERES</w:t>
            </w:r>
          </w:p>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 xml:space="preserve">PREFIJO </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SIGNIFICA</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lang w:val="es-EC"/>
              </w:rPr>
            </w:pPr>
            <w:r>
              <w:rPr>
                <w:rFonts w:ascii="Arial" w:hAnsi="Arial" w:cs="Arial"/>
                <w:b/>
                <w:sz w:val="24"/>
                <w:szCs w:val="24"/>
                <w:lang w:val="es-EC"/>
              </w:rPr>
              <w:t>adeno-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glándula</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condro-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cartílago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eritro-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glóbulo rojo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hemangio-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vasos sanguíneos</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hepato-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hígado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lipo-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tejido graso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linfo-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linfocito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melano-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célula de pigmento</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mielo-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médula ósea</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mio-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 xml:space="preserve">músculo </w:t>
            </w:r>
          </w:p>
        </w:tc>
      </w:tr>
      <w:tr w:rsidR="00000000">
        <w:tc>
          <w:tcPr>
            <w:tcW w:w="2021"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osteo-</w:t>
            </w:r>
          </w:p>
        </w:tc>
        <w:tc>
          <w:tcPr>
            <w:tcW w:w="2520" w:type="dxa"/>
            <w:vAlign w:val="center"/>
          </w:tcPr>
          <w:p w:rsidR="00000000" w:rsidRDefault="00BC67ED">
            <w:pPr>
              <w:pStyle w:val="bodytext"/>
              <w:tabs>
                <w:tab w:val="num" w:pos="720"/>
                <w:tab w:val="num" w:pos="2520"/>
              </w:tabs>
              <w:spacing w:before="0" w:beforeAutospacing="0" w:after="0" w:afterAutospacing="0"/>
              <w:jc w:val="center"/>
              <w:rPr>
                <w:rFonts w:ascii="Arial" w:hAnsi="Arial" w:cs="Arial"/>
                <w:b/>
                <w:sz w:val="24"/>
                <w:szCs w:val="24"/>
              </w:rPr>
            </w:pPr>
            <w:r>
              <w:rPr>
                <w:rFonts w:ascii="Arial" w:hAnsi="Arial" w:cs="Arial"/>
                <w:b/>
                <w:sz w:val="24"/>
                <w:szCs w:val="24"/>
              </w:rPr>
              <w:t>hueso</w:t>
            </w:r>
          </w:p>
        </w:tc>
      </w:tr>
    </w:tbl>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lastRenderedPageBreak/>
        <w:t>El Inicio del Crecimiento de las Células del Cáncer</w:t>
      </w:r>
      <w:r>
        <w:rPr>
          <w:rStyle w:val="Refdenotaalpie"/>
          <w:rFonts w:ascii="Arial" w:hAnsi="Arial" w:cs="Arial"/>
          <w:b/>
        </w:rPr>
        <w:footnoteReference w:id="7"/>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El balance normal entre la división celular y la pérdida de las células se descontrola durante el desarrollo</w:t>
      </w:r>
      <w:r>
        <w:rPr>
          <w:rFonts w:ascii="Arial" w:hAnsi="Arial" w:cs="Arial"/>
          <w:sz w:val="24"/>
          <w:szCs w:val="24"/>
        </w:rPr>
        <w:t xml:space="preserve"> de cáncer de la piel. Para reemplazar las células que se desprendieron de la superficie de la piel, las células basales empiezan a dividirse más rápido de lo necesario. Cada vez que una de estas células basales se divide, las dos células nuevas formadas, </w:t>
      </w:r>
      <w:r>
        <w:rPr>
          <w:rFonts w:ascii="Arial" w:hAnsi="Arial" w:cs="Arial"/>
          <w:sz w:val="24"/>
          <w:szCs w:val="24"/>
        </w:rPr>
        <w:t>regularmente mantienen la capacidad para dividirse, lo que lleva a un aumento total de las células que se dividen.</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Los Tumores (Neoplasma)</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 xml:space="preserve">Este aumento gradual en el número de células con capacidad para dividirse crea una masa creciente de tejido que se </w:t>
      </w:r>
      <w:r>
        <w:rPr>
          <w:rFonts w:ascii="Arial" w:hAnsi="Arial" w:cs="Arial"/>
          <w:sz w:val="24"/>
          <w:szCs w:val="24"/>
        </w:rPr>
        <w:t>conoce como "tumor" o "neoplasma". El tumor crecerá rápidamente de tamaño si la división de las células es relativamente rápida y no hay señales "suicidas" que provoquen la muerte de las células. Si las células se dividen más lentamente, el crecimiento del</w:t>
      </w:r>
      <w:r>
        <w:rPr>
          <w:rFonts w:ascii="Arial" w:hAnsi="Arial" w:cs="Arial"/>
          <w:sz w:val="24"/>
          <w:szCs w:val="24"/>
        </w:rPr>
        <w:t xml:space="preserve"> tumor será más lento. Sin importar la rapidez del crecimiento, los tumores crecen en tamaño porque las nuevas células se producen en cantidades mayores de lo que es necesario. </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lastRenderedPageBreak/>
        <w:t>La formación normal del tejido se alterará gradualmente, entre más y más se ac</w:t>
      </w:r>
      <w:r>
        <w:rPr>
          <w:rFonts w:ascii="Arial" w:hAnsi="Arial" w:cs="Arial"/>
          <w:sz w:val="24"/>
          <w:szCs w:val="24"/>
        </w:rPr>
        <w:t>umulen las células que se dividen.</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La Invasión y Metástasis</w:t>
      </w:r>
      <w:r>
        <w:rPr>
          <w:rStyle w:val="Refdenotaalpie"/>
          <w:rFonts w:ascii="Arial" w:hAnsi="Arial" w:cs="Arial"/>
          <w:b/>
        </w:rPr>
        <w:footnoteReference w:id="8"/>
      </w:r>
    </w:p>
    <w:p w:rsidR="00000000" w:rsidRDefault="00BC67ED">
      <w:pPr>
        <w:pStyle w:val="bodytext"/>
        <w:tabs>
          <w:tab w:val="num" w:pos="720"/>
        </w:tabs>
        <w:spacing w:before="0" w:beforeAutospacing="0" w:after="0" w:afterAutospacing="0"/>
        <w:ind w:left="708"/>
        <w:jc w:val="both"/>
        <w:rPr>
          <w:rFonts w:ascii="Arial" w:hAnsi="Arial" w:cs="Arial"/>
          <w:sz w:val="24"/>
          <w:szCs w:val="24"/>
        </w:rPr>
      </w:pPr>
    </w:p>
    <w:p w:rsidR="00000000" w:rsidRDefault="00BC67ED">
      <w:pPr>
        <w:pStyle w:val="bodytext"/>
        <w:tabs>
          <w:tab w:val="num" w:pos="720"/>
        </w:tabs>
        <w:spacing w:before="0" w:beforeAutospacing="0" w:after="0" w:afterAutospacing="0"/>
        <w:ind w:left="708"/>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Los cánceres son capaces de diseminarse por el cuerpo mediante dos mecanismos: por invasión y por metástasis. La invasión se refiere a la migración y a la penetración directa de las células ca</w:t>
      </w:r>
      <w:r>
        <w:rPr>
          <w:rFonts w:ascii="Arial" w:hAnsi="Arial" w:cs="Arial"/>
          <w:sz w:val="24"/>
          <w:szCs w:val="24"/>
        </w:rPr>
        <w:t>ncerosas en el tejido vecino.</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La metástasis se refiere a la habilidad de las células cancerosas de penetrar en los vasos sanguíneos y linfáticos, circular por el torrente sanguíneo y luego invadir el tejido normal en otras partes del cuerpo.</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La Detección</w:t>
      </w:r>
      <w:r>
        <w:rPr>
          <w:rFonts w:ascii="Arial" w:hAnsi="Arial" w:cs="Arial"/>
          <w:b/>
        </w:rPr>
        <w:t xml:space="preserve"> y Diagnóstico del Cáncer</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El detectar el cáncer en su etapa temprana puede afectar el resultado de ciertos cánceres. Cuando el cáncer se detecta, el médico determina qué clase es y qué tan rápido es su crecimiento.</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lastRenderedPageBreak/>
        <w:t>El médico también determinará si las cé</w:t>
      </w:r>
      <w:r>
        <w:rPr>
          <w:rFonts w:ascii="Arial" w:hAnsi="Arial" w:cs="Arial"/>
          <w:sz w:val="24"/>
          <w:szCs w:val="24"/>
        </w:rPr>
        <w:t>lulas cancerosas han invadido los tejidos saludables cercanos o si se han diseminado (metastatizado) a otras partes del cuerpo.</w:t>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En algunos casos, la detección temprana del cáncer puede reducir el riesgo de que la persona muera por causa de esta enfermedad</w:t>
      </w:r>
      <w:r>
        <w:rPr>
          <w:rFonts w:ascii="Arial" w:hAnsi="Arial" w:cs="Arial"/>
          <w:sz w:val="24"/>
          <w:szCs w:val="24"/>
        </w:rPr>
        <w:t>. Por lo tanto, la mayor prioridad de los investigadores de cáncer es mejorar los métodos para la detección temprana.</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numPr>
          <w:ilvl w:val="1"/>
          <w:numId w:val="1"/>
        </w:numPr>
        <w:tabs>
          <w:tab w:val="num" w:pos="720"/>
        </w:tabs>
        <w:spacing w:line="480" w:lineRule="auto"/>
        <w:ind w:left="0" w:right="-2" w:firstLine="0"/>
        <w:jc w:val="both"/>
        <w:rPr>
          <w:rFonts w:ascii="Arial" w:hAnsi="Arial" w:cs="Arial"/>
          <w:b/>
          <w:lang w:val="es-ES"/>
        </w:rPr>
      </w:pPr>
      <w:r>
        <w:rPr>
          <w:rFonts w:ascii="Arial" w:hAnsi="Arial" w:cs="Arial"/>
          <w:b/>
        </w:rPr>
        <w:t>El Cáncer en Etapa Temprana Puede no Tener Algún Síntoma</w:t>
      </w:r>
      <w:r>
        <w:rPr>
          <w:rStyle w:val="Refdenotaalpie"/>
          <w:rFonts w:ascii="Arial" w:hAnsi="Arial" w:cs="Arial"/>
          <w:b/>
        </w:rPr>
        <w:footnoteReference w:id="9"/>
      </w:r>
    </w:p>
    <w:p w:rsidR="00000000" w:rsidRDefault="00BC67ED">
      <w:pPr>
        <w:pStyle w:val="bodytext"/>
        <w:tabs>
          <w:tab w:val="num" w:pos="720"/>
        </w:tabs>
        <w:spacing w:before="0" w:beforeAutospacing="0" w:after="0" w:afterAutospacing="0" w:line="480" w:lineRule="auto"/>
        <w:ind w:left="708"/>
        <w:jc w:val="both"/>
        <w:rPr>
          <w:rFonts w:ascii="Arial" w:hAnsi="Arial" w:cs="Arial"/>
          <w:sz w:val="24"/>
          <w:szCs w:val="24"/>
        </w:rPr>
      </w:pPr>
      <w:r>
        <w:rPr>
          <w:rFonts w:ascii="Arial" w:hAnsi="Arial" w:cs="Arial"/>
          <w:sz w:val="24"/>
          <w:szCs w:val="24"/>
        </w:rPr>
        <w:t>No espere sentir dolor para hacerse un examen de cáncer, ya que el cáncer no si</w:t>
      </w:r>
      <w:r>
        <w:rPr>
          <w:rFonts w:ascii="Arial" w:hAnsi="Arial" w:cs="Arial"/>
          <w:sz w:val="24"/>
          <w:szCs w:val="24"/>
        </w:rPr>
        <w:t>empre presenta síntomas. Algunas personas visitan al médico únicamente cuando notan cambios, como por ejemplo, una masa o nódulo en el seno o sangrado o descarga fuera de lo común. Sin embargo, el cáncer temprano puede no tener algún síntoma. Esa es la raz</w:t>
      </w:r>
      <w:r>
        <w:rPr>
          <w:rFonts w:ascii="Arial" w:hAnsi="Arial" w:cs="Arial"/>
          <w:sz w:val="24"/>
          <w:szCs w:val="24"/>
        </w:rPr>
        <w:t>ón por la cual los exámenes de detección para algunos cánceres pueden ayudar, particularmente a medida que se envejece. Los métodos de detección están diseñados para detectar el cáncer en las personas sin síntomas.</w:t>
      </w:r>
    </w:p>
    <w:p w:rsidR="00000000" w:rsidRDefault="00BC67ED">
      <w:pPr>
        <w:pStyle w:val="bodytext"/>
        <w:tabs>
          <w:tab w:val="num" w:pos="720"/>
        </w:tabs>
        <w:spacing w:before="0" w:beforeAutospacing="0" w:after="0" w:afterAutospacing="0" w:line="480" w:lineRule="auto"/>
        <w:jc w:val="both"/>
        <w:rPr>
          <w:rFonts w:ascii="Arial" w:hAnsi="Arial" w:cs="Arial"/>
          <w:sz w:val="24"/>
          <w:szCs w:val="24"/>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lastRenderedPageBreak/>
        <w:t>El Esófago</w:t>
      </w:r>
      <w:r>
        <w:rPr>
          <w:rStyle w:val="Refdenotaalpie"/>
          <w:rFonts w:ascii="Arial" w:hAnsi="Arial" w:cs="Arial"/>
          <w:b/>
          <w:lang w:val="es-ES"/>
        </w:rPr>
        <w:footnoteReference w:id="10"/>
      </w:r>
      <w:r>
        <w:rPr>
          <w:rFonts w:ascii="Arial" w:hAnsi="Arial" w:cs="Arial"/>
          <w:b/>
          <w:lang w:val="es-ES"/>
        </w:rPr>
        <w:t xml:space="preserve"> </w:t>
      </w:r>
    </w:p>
    <w:p w:rsidR="00000000" w:rsidRDefault="00BC67ED">
      <w:pPr>
        <w:pStyle w:val="Textoindependiente3"/>
        <w:tabs>
          <w:tab w:val="num" w:pos="720"/>
        </w:tabs>
        <w:spacing w:line="480" w:lineRule="auto"/>
        <w:ind w:left="708"/>
        <w:rPr>
          <w:rFonts w:cs="Arial"/>
        </w:rPr>
      </w:pPr>
      <w:r>
        <w:rPr>
          <w:rFonts w:cs="Arial"/>
        </w:rPr>
        <w:t>El esófago es un tubo muscu</w:t>
      </w:r>
      <w:r>
        <w:rPr>
          <w:rFonts w:cs="Arial"/>
        </w:rPr>
        <w:t>lar que se extiende desde la faringe hasta el estómago, conduciendo el bolo alimenticio, tiene su propio peristaltismo, se extiende desde el borde inferior del músculo cricofaríngeo, o sea a nivel de la sexta vértebra cervical, o del borde inferior del car</w:t>
      </w:r>
      <w:r>
        <w:rPr>
          <w:rFonts w:cs="Arial"/>
        </w:rPr>
        <w:t>tílago cricoides; al orificio superior del estómago, por lo tanto en la unión esofagogástrica, a nivel de la 11va vértebra torácica.</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Es más o menos vertical, pues desciende casi paralelo a la columna vertebral, de la cual se separa a partir de la cuarta v</w:t>
      </w:r>
      <w:r>
        <w:rPr>
          <w:rFonts w:cs="Arial"/>
        </w:rPr>
        <w:t>értebra torácica.</w:t>
      </w:r>
    </w:p>
    <w:p w:rsidR="00000000" w:rsidRDefault="00BC67ED">
      <w:pPr>
        <w:pStyle w:val="Textoindependiente3"/>
        <w:tabs>
          <w:tab w:val="num" w:pos="720"/>
        </w:tabs>
        <w:spacing w:line="480" w:lineRule="auto"/>
        <w:ind w:left="708"/>
        <w:rPr>
          <w:rFonts w:cs="Arial"/>
        </w:rPr>
      </w:pPr>
      <w:r>
        <w:rPr>
          <w:rFonts w:cs="Arial"/>
        </w:rPr>
        <w:t>En el recién nacido, es de 10 cm. A los 2 años es de 16 cm. y en el adulto la longitud es de 20 a 25 cm.</w:t>
      </w:r>
    </w:p>
    <w:p w:rsidR="00000000" w:rsidRDefault="00BC67ED">
      <w:pPr>
        <w:pStyle w:val="Textoindependiente3"/>
        <w:tabs>
          <w:tab w:val="num" w:pos="720"/>
        </w:tabs>
        <w:spacing w:line="480" w:lineRule="auto"/>
        <w:ind w:left="708"/>
        <w:rPr>
          <w:rFonts w:cs="Arial"/>
        </w:rPr>
      </w:pPr>
      <w:r>
        <w:rPr>
          <w:rFonts w:cs="Arial"/>
        </w:rPr>
        <w:t>Compuesto de músculo liso tiene dos capas de músculos.</w:t>
      </w:r>
    </w:p>
    <w:p w:rsidR="00000000" w:rsidRDefault="00BC67ED" w:rsidP="00BC67ED">
      <w:pPr>
        <w:pStyle w:val="Textoindependiente3"/>
        <w:numPr>
          <w:ilvl w:val="0"/>
          <w:numId w:val="3"/>
        </w:numPr>
        <w:tabs>
          <w:tab w:val="clear" w:pos="720"/>
          <w:tab w:val="num" w:pos="1428"/>
          <w:tab w:val="num" w:pos="2496"/>
        </w:tabs>
        <w:spacing w:line="480" w:lineRule="auto"/>
        <w:ind w:left="708" w:firstLine="0"/>
        <w:rPr>
          <w:rFonts w:cs="Arial"/>
        </w:rPr>
      </w:pPr>
      <w:r>
        <w:rPr>
          <w:rFonts w:cs="Arial"/>
        </w:rPr>
        <w:t>Una capa longitudinal externa.</w:t>
      </w:r>
    </w:p>
    <w:p w:rsidR="00000000" w:rsidRDefault="00BC67ED" w:rsidP="00BC67ED">
      <w:pPr>
        <w:pStyle w:val="Textoindependiente3"/>
        <w:numPr>
          <w:ilvl w:val="0"/>
          <w:numId w:val="3"/>
        </w:numPr>
        <w:tabs>
          <w:tab w:val="clear" w:pos="720"/>
          <w:tab w:val="num" w:pos="1428"/>
          <w:tab w:val="num" w:pos="2496"/>
        </w:tabs>
        <w:spacing w:line="480" w:lineRule="auto"/>
        <w:ind w:left="708" w:firstLine="0"/>
        <w:rPr>
          <w:rFonts w:cs="Arial"/>
        </w:rPr>
      </w:pPr>
      <w:r>
        <w:rPr>
          <w:rFonts w:cs="Arial"/>
        </w:rPr>
        <w:t>Una capa circular interna.</w:t>
      </w:r>
    </w:p>
    <w:p w:rsidR="00000000" w:rsidRDefault="00BC67ED">
      <w:pPr>
        <w:pStyle w:val="Textoindependiente3"/>
        <w:tabs>
          <w:tab w:val="num" w:pos="720"/>
        </w:tabs>
        <w:spacing w:line="480" w:lineRule="auto"/>
        <w:ind w:left="708"/>
        <w:rPr>
          <w:rFonts w:cs="Arial"/>
        </w:rPr>
      </w:pPr>
      <w:r>
        <w:rPr>
          <w:rFonts w:cs="Arial"/>
        </w:rPr>
        <w:t>No se encuentran rec</w:t>
      </w:r>
      <w:r>
        <w:rPr>
          <w:rFonts w:cs="Arial"/>
        </w:rPr>
        <w:t xml:space="preserve">ubiertas por serosa, sino por una adventicia de tejido conectivo. Estudios recientes han demostrado que la transición de músculos es predominantemente estriado a liso; se localiza en los 4 a 5 centímetros superiores del esófago humano. De esta manera de </w:t>
      </w:r>
      <w:r>
        <w:rPr>
          <w:rFonts w:cs="Arial"/>
        </w:rPr>
        <w:lastRenderedPageBreak/>
        <w:t>un</w:t>
      </w:r>
      <w:r>
        <w:rPr>
          <w:rFonts w:cs="Arial"/>
        </w:rPr>
        <w:t xml:space="preserve"> 50 a 60% de esófago distal, junto con el esfínter esofágico inferior, es músculo liso en su totalidad.</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El esófago termina en el orificio superior del estómago, desembocando a nivel de la onceava vértebra torácica.</w:t>
      </w:r>
    </w:p>
    <w:p w:rsidR="00000000" w:rsidRDefault="00BC67ED">
      <w:pPr>
        <w:pStyle w:val="Textoindependiente3"/>
        <w:tabs>
          <w:tab w:val="num" w:pos="720"/>
        </w:tabs>
        <w:spacing w:line="480" w:lineRule="auto"/>
        <w:rPr>
          <w:rFonts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t>Ensanchamientos del Esófago</w:t>
      </w:r>
      <w:r>
        <w:rPr>
          <w:rStyle w:val="Refdenotaalpie"/>
          <w:rFonts w:ascii="Arial" w:hAnsi="Arial" w:cs="Arial"/>
          <w:b/>
          <w:lang w:val="es-ES"/>
        </w:rPr>
        <w:footnoteReference w:id="11"/>
      </w:r>
    </w:p>
    <w:p w:rsidR="00000000" w:rsidRDefault="00BC67ED">
      <w:pPr>
        <w:pStyle w:val="Textoindependiente3"/>
        <w:tabs>
          <w:tab w:val="num" w:pos="720"/>
        </w:tabs>
        <w:spacing w:line="480" w:lineRule="auto"/>
        <w:ind w:left="708"/>
        <w:rPr>
          <w:rFonts w:cs="Arial"/>
        </w:rPr>
      </w:pPr>
      <w:r>
        <w:rPr>
          <w:rFonts w:cs="Arial"/>
        </w:rPr>
        <w:t>El esófago</w:t>
      </w:r>
      <w:r>
        <w:rPr>
          <w:rFonts w:cs="Arial"/>
        </w:rPr>
        <w:t xml:space="preserve"> posee tres ensanchamientos:</w:t>
      </w:r>
    </w:p>
    <w:p w:rsidR="00000000" w:rsidRDefault="00BC67ED" w:rsidP="00BC67ED">
      <w:pPr>
        <w:pStyle w:val="Textoindependiente3"/>
        <w:numPr>
          <w:ilvl w:val="0"/>
          <w:numId w:val="4"/>
        </w:numPr>
        <w:tabs>
          <w:tab w:val="clear" w:pos="720"/>
          <w:tab w:val="num" w:pos="1428"/>
          <w:tab w:val="num" w:pos="2496"/>
        </w:tabs>
        <w:spacing w:line="360" w:lineRule="auto"/>
        <w:ind w:left="708" w:firstLine="0"/>
        <w:rPr>
          <w:rFonts w:cs="Arial"/>
        </w:rPr>
      </w:pPr>
      <w:r>
        <w:rPr>
          <w:rFonts w:cs="Arial"/>
        </w:rPr>
        <w:t>Estrechamiento cricoideo al inicio del esófago.</w:t>
      </w:r>
    </w:p>
    <w:p w:rsidR="00000000" w:rsidRDefault="00BC67ED" w:rsidP="00BC67ED">
      <w:pPr>
        <w:pStyle w:val="Textoindependiente3"/>
        <w:numPr>
          <w:ilvl w:val="0"/>
          <w:numId w:val="4"/>
        </w:numPr>
        <w:tabs>
          <w:tab w:val="clear" w:pos="720"/>
          <w:tab w:val="num" w:pos="1428"/>
          <w:tab w:val="num" w:pos="2496"/>
        </w:tabs>
        <w:spacing w:line="360" w:lineRule="auto"/>
        <w:ind w:left="708" w:firstLine="0"/>
        <w:rPr>
          <w:rFonts w:cs="Arial"/>
        </w:rPr>
      </w:pPr>
      <w:r>
        <w:rPr>
          <w:rFonts w:cs="Arial"/>
        </w:rPr>
        <w:t>Estrechamiento bronco aórtico.</w:t>
      </w:r>
    </w:p>
    <w:p w:rsidR="00000000" w:rsidRDefault="00BC67ED" w:rsidP="00BC67ED">
      <w:pPr>
        <w:pStyle w:val="Textoindependiente3"/>
        <w:numPr>
          <w:ilvl w:val="0"/>
          <w:numId w:val="4"/>
        </w:numPr>
        <w:tabs>
          <w:tab w:val="clear" w:pos="720"/>
          <w:tab w:val="num" w:pos="1428"/>
          <w:tab w:val="num" w:pos="2496"/>
        </w:tabs>
        <w:spacing w:line="360" w:lineRule="auto"/>
        <w:ind w:left="708" w:firstLine="0"/>
        <w:rPr>
          <w:rFonts w:cs="Arial"/>
        </w:rPr>
      </w:pPr>
      <w:r>
        <w:rPr>
          <w:rFonts w:cs="Arial"/>
        </w:rPr>
        <w:t>Estrechamiento diafragmático.</w:t>
      </w:r>
    </w:p>
    <w:p w:rsidR="00000000" w:rsidRDefault="00BC67ED">
      <w:pPr>
        <w:pStyle w:val="Textoindependiente3"/>
        <w:ind w:left="708"/>
        <w:rPr>
          <w:rFonts w:cs="Arial"/>
        </w:rPr>
      </w:pPr>
    </w:p>
    <w:p w:rsidR="00000000" w:rsidRDefault="00BC67ED">
      <w:pPr>
        <w:pStyle w:val="Textoindependiente3"/>
        <w:ind w:left="708"/>
        <w:rPr>
          <w:rFonts w:cs="Arial"/>
        </w:rPr>
      </w:pPr>
    </w:p>
    <w:p w:rsidR="00000000" w:rsidRDefault="00BC67ED" w:rsidP="00BC67ED">
      <w:pPr>
        <w:pStyle w:val="Textoindependiente3"/>
        <w:numPr>
          <w:ilvl w:val="2"/>
          <w:numId w:val="5"/>
        </w:numPr>
        <w:tabs>
          <w:tab w:val="clear" w:pos="2010"/>
          <w:tab w:val="num" w:pos="720"/>
          <w:tab w:val="num" w:pos="2346"/>
        </w:tabs>
        <w:spacing w:line="480" w:lineRule="auto"/>
        <w:ind w:left="0" w:firstLine="0"/>
        <w:rPr>
          <w:rFonts w:cs="Arial"/>
          <w:b/>
        </w:rPr>
      </w:pPr>
      <w:r>
        <w:rPr>
          <w:rFonts w:cs="Arial"/>
          <w:b/>
        </w:rPr>
        <w:t>Estrechamiento Cricoideo</w:t>
      </w:r>
    </w:p>
    <w:p w:rsidR="00000000" w:rsidRDefault="00BC67ED">
      <w:pPr>
        <w:pStyle w:val="Textoindependiente3"/>
        <w:tabs>
          <w:tab w:val="num" w:pos="720"/>
        </w:tabs>
        <w:spacing w:line="480" w:lineRule="auto"/>
        <w:ind w:left="708"/>
        <w:rPr>
          <w:rFonts w:cs="Arial"/>
        </w:rPr>
      </w:pPr>
      <w:r>
        <w:rPr>
          <w:rFonts w:cs="Arial"/>
        </w:rPr>
        <w:t>El primer estrechamiento, se presenta en el origen del esófago a la altura del cartílago cr</w:t>
      </w:r>
      <w:r>
        <w:rPr>
          <w:rFonts w:cs="Arial"/>
        </w:rPr>
        <w:t>icoides, se proyecta a nivel de la sexta vértebra cervical.</w:t>
      </w:r>
    </w:p>
    <w:p w:rsidR="00000000" w:rsidRDefault="00BC67ED">
      <w:pPr>
        <w:pStyle w:val="Textoindependiente3"/>
        <w:tabs>
          <w:tab w:val="num" w:pos="720"/>
        </w:tabs>
        <w:spacing w:line="480" w:lineRule="auto"/>
        <w:rPr>
          <w:rFonts w:cs="Arial"/>
        </w:rPr>
      </w:pPr>
    </w:p>
    <w:p w:rsidR="00000000" w:rsidRDefault="00BC67ED" w:rsidP="00BC67ED">
      <w:pPr>
        <w:pStyle w:val="Textoindependiente3"/>
        <w:numPr>
          <w:ilvl w:val="2"/>
          <w:numId w:val="5"/>
        </w:numPr>
        <w:tabs>
          <w:tab w:val="clear" w:pos="2010"/>
          <w:tab w:val="num" w:pos="720"/>
          <w:tab w:val="num" w:pos="2346"/>
        </w:tabs>
        <w:spacing w:line="480" w:lineRule="auto"/>
        <w:ind w:left="0" w:firstLine="0"/>
        <w:rPr>
          <w:rFonts w:cs="Arial"/>
          <w:b/>
        </w:rPr>
      </w:pPr>
      <w:r>
        <w:rPr>
          <w:rFonts w:cs="Arial"/>
          <w:b/>
        </w:rPr>
        <w:t>Estrechamiento Bronco Aórtico</w:t>
      </w:r>
    </w:p>
    <w:p w:rsidR="00000000" w:rsidRDefault="00BC67ED">
      <w:pPr>
        <w:pStyle w:val="Textoindependiente3"/>
        <w:tabs>
          <w:tab w:val="num" w:pos="720"/>
        </w:tabs>
        <w:spacing w:line="480" w:lineRule="auto"/>
        <w:ind w:left="708"/>
        <w:rPr>
          <w:rFonts w:cs="Arial"/>
        </w:rPr>
      </w:pPr>
      <w:r>
        <w:rPr>
          <w:rFonts w:cs="Arial"/>
        </w:rPr>
        <w:t>El segundo estrechamiento se sitúa a nivel del arco aórtico, y del bronquio izquierdo y se proyecta, a nivel de la cuarta vértebra torácica.</w:t>
      </w:r>
    </w:p>
    <w:p w:rsidR="00000000" w:rsidRDefault="00BC67ED" w:rsidP="00BC67ED">
      <w:pPr>
        <w:pStyle w:val="Textoindependiente3"/>
        <w:numPr>
          <w:ilvl w:val="2"/>
          <w:numId w:val="5"/>
        </w:numPr>
        <w:tabs>
          <w:tab w:val="clear" w:pos="2010"/>
          <w:tab w:val="num" w:pos="720"/>
          <w:tab w:val="num" w:pos="2346"/>
        </w:tabs>
        <w:spacing w:line="480" w:lineRule="auto"/>
        <w:ind w:left="0" w:firstLine="0"/>
        <w:rPr>
          <w:rFonts w:cs="Arial"/>
        </w:rPr>
      </w:pPr>
      <w:r>
        <w:rPr>
          <w:rFonts w:cs="Arial"/>
          <w:b/>
        </w:rPr>
        <w:lastRenderedPageBreak/>
        <w:t>Estrechamiento Diafragmá</w:t>
      </w:r>
      <w:r>
        <w:rPr>
          <w:rFonts w:cs="Arial"/>
          <w:b/>
        </w:rPr>
        <w:t>tico</w:t>
      </w:r>
      <w:r>
        <w:rPr>
          <w:rStyle w:val="Refdenotaalpie"/>
          <w:rFonts w:cs="Arial"/>
          <w:b/>
        </w:rPr>
        <w:footnoteReference w:id="12"/>
      </w:r>
    </w:p>
    <w:p w:rsidR="00000000" w:rsidRDefault="00BC67ED">
      <w:pPr>
        <w:pStyle w:val="Textoindependiente3"/>
        <w:tabs>
          <w:tab w:val="num" w:pos="720"/>
        </w:tabs>
        <w:spacing w:line="480" w:lineRule="auto"/>
        <w:ind w:left="708"/>
        <w:rPr>
          <w:rFonts w:cs="Arial"/>
        </w:rPr>
      </w:pPr>
      <w:r>
        <w:rPr>
          <w:rFonts w:cs="Arial"/>
        </w:rPr>
        <w:t>El tercer estrechamiento se sitúa a nivel del diafragma y se proyecta a nivel de la décima vértebra torácica.</w:t>
      </w:r>
    </w:p>
    <w:p w:rsidR="00000000" w:rsidRDefault="00BC67ED">
      <w:pPr>
        <w:pStyle w:val="Textoindependiente3"/>
        <w:tabs>
          <w:tab w:val="num" w:pos="720"/>
        </w:tabs>
        <w:spacing w:line="360" w:lineRule="auto"/>
        <w:rPr>
          <w:rFonts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Esfínter Esofágico Superior</w:t>
      </w:r>
    </w:p>
    <w:p w:rsidR="00000000" w:rsidRDefault="00BC67ED">
      <w:pPr>
        <w:pStyle w:val="Textoindependiente3"/>
        <w:tabs>
          <w:tab w:val="num" w:pos="720"/>
        </w:tabs>
        <w:spacing w:line="480" w:lineRule="auto"/>
        <w:ind w:left="708"/>
        <w:rPr>
          <w:rFonts w:cs="Arial"/>
        </w:rPr>
      </w:pPr>
      <w:r>
        <w:rPr>
          <w:rFonts w:cs="Arial"/>
        </w:rPr>
        <w:t xml:space="preserve">El esfínter esofágico superior, está conformado por un músculo estriado y tiene de 2 a 4 cm. de longitud, está </w:t>
      </w:r>
      <w:r>
        <w:rPr>
          <w:rFonts w:cs="Arial"/>
        </w:rPr>
        <w:t>conformado principalmente por las fibras horizontales del músculo cricofaríngeo (1) y una pequeña parte del músculo constrictor inferior de la faringe, encontrándose su masa muscular, principalmente a la altura de la quinta a sexta vértebra cervical.</w:t>
      </w:r>
    </w:p>
    <w:p w:rsidR="00000000" w:rsidRDefault="00BC67ED">
      <w:pPr>
        <w:pStyle w:val="Textoindependiente3"/>
        <w:tabs>
          <w:tab w:val="num" w:pos="720"/>
        </w:tabs>
        <w:spacing w:line="480" w:lineRule="auto"/>
        <w:rPr>
          <w:rFonts w:cs="Arial"/>
        </w:rPr>
      </w:pPr>
    </w:p>
    <w:p w:rsidR="00000000" w:rsidRDefault="00BC67ED">
      <w:pPr>
        <w:pStyle w:val="Textoindependiente3"/>
        <w:tabs>
          <w:tab w:val="num" w:pos="720"/>
        </w:tabs>
        <w:spacing w:line="480" w:lineRule="auto"/>
        <w:ind w:left="708"/>
        <w:rPr>
          <w:rFonts w:cs="Arial"/>
        </w:rPr>
      </w:pPr>
      <w:r>
        <w:rPr>
          <w:rFonts w:cs="Arial"/>
        </w:rPr>
        <w:t>El e</w:t>
      </w:r>
      <w:r>
        <w:rPr>
          <w:rFonts w:cs="Arial"/>
        </w:rPr>
        <w:t>sfínter esofágico superior, al igual que la musculatura estriada de la faringe oral, y la parte superior del esófago, se encuentran inervadas, recibiendo las órdenes motoras, directamente desde el tronco cerebral (núcleo ambiguo) a la placa motora final de</w:t>
      </w:r>
      <w:r>
        <w:rPr>
          <w:rFonts w:cs="Arial"/>
        </w:rPr>
        <w:t>l músculo, a través, del nervio vago, en su rama laríngeo recurrente.</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 xml:space="preserve">Se encuentra cerrado tónicamente, debido a la continua descarga neural, y se abre en forma momentánea en respuesta a la deglución. </w:t>
      </w:r>
      <w:r>
        <w:rPr>
          <w:rFonts w:cs="Arial"/>
        </w:rPr>
        <w:lastRenderedPageBreak/>
        <w:t>Durante el sueño, cesa la excitación neural, pero la t</w:t>
      </w:r>
      <w:r>
        <w:rPr>
          <w:rFonts w:cs="Arial"/>
        </w:rPr>
        <w:t>ensión del esfínter esofágico superior no llega  a cero, probablemente debido al colapso pasivo de la estructura circundante, evitando que el aire entre al esófago. Otra función importante del esfínter esofágico superior es la de formar una barrera secunda</w:t>
      </w:r>
      <w:r>
        <w:rPr>
          <w:rFonts w:cs="Arial"/>
        </w:rPr>
        <w:t>ria, evitando así la aspiración del contenido gastroesofágico.</w:t>
      </w:r>
    </w:p>
    <w:p w:rsidR="00000000" w:rsidRDefault="00BC67ED">
      <w:pPr>
        <w:pStyle w:val="Textoindependiente3"/>
        <w:tabs>
          <w:tab w:val="num" w:pos="720"/>
        </w:tabs>
        <w:spacing w:line="480" w:lineRule="auto"/>
        <w:rPr>
          <w:rFonts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Esfínter Esofágico Inferior</w:t>
      </w:r>
      <w:r>
        <w:rPr>
          <w:rStyle w:val="Refdenotaalpie"/>
          <w:rFonts w:ascii="Arial" w:hAnsi="Arial" w:cs="Arial"/>
          <w:b/>
        </w:rPr>
        <w:footnoteReference w:id="13"/>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El esfínter esofágico inferior, es una zona de alta tensión, de 2 a 4 centímetros de longitud de músculo liso, que es abrazada por el diafragma, y es el component</w:t>
      </w:r>
      <w:r>
        <w:rPr>
          <w:rFonts w:cs="Arial"/>
        </w:rPr>
        <w:t>e principal de la barrera antirreflujo, las estructuras anatómicas que definen la barrera antirreflujo son:</w:t>
      </w:r>
    </w:p>
    <w:p w:rsidR="00000000" w:rsidRDefault="00BC67ED" w:rsidP="00BC67ED">
      <w:pPr>
        <w:pStyle w:val="Textoindependiente3"/>
        <w:numPr>
          <w:ilvl w:val="0"/>
          <w:numId w:val="6"/>
        </w:numPr>
        <w:tabs>
          <w:tab w:val="num" w:pos="1428"/>
        </w:tabs>
        <w:spacing w:line="480" w:lineRule="auto"/>
        <w:ind w:left="708" w:firstLine="0"/>
        <w:rPr>
          <w:rFonts w:cs="Arial"/>
        </w:rPr>
      </w:pPr>
      <w:r>
        <w:rPr>
          <w:rFonts w:cs="Arial"/>
        </w:rPr>
        <w:t>El esfínter fisiológico esofágico inferior.</w:t>
      </w:r>
    </w:p>
    <w:p w:rsidR="00000000" w:rsidRDefault="00BC67ED" w:rsidP="00BC67ED">
      <w:pPr>
        <w:pStyle w:val="Textoindependiente3"/>
        <w:numPr>
          <w:ilvl w:val="0"/>
          <w:numId w:val="6"/>
        </w:numPr>
        <w:tabs>
          <w:tab w:val="num" w:pos="1428"/>
        </w:tabs>
        <w:spacing w:line="480" w:lineRule="auto"/>
        <w:ind w:left="708" w:firstLine="0"/>
        <w:rPr>
          <w:rFonts w:cs="Arial"/>
        </w:rPr>
      </w:pPr>
      <w:r>
        <w:rPr>
          <w:rFonts w:cs="Arial"/>
        </w:rPr>
        <w:t>Los pilares del diafragma.</w:t>
      </w:r>
    </w:p>
    <w:p w:rsidR="00000000" w:rsidRDefault="00BC67ED" w:rsidP="00BC67ED">
      <w:pPr>
        <w:pStyle w:val="Textoindependiente3"/>
        <w:numPr>
          <w:ilvl w:val="0"/>
          <w:numId w:val="6"/>
        </w:numPr>
        <w:tabs>
          <w:tab w:val="num" w:pos="1428"/>
        </w:tabs>
        <w:spacing w:line="480" w:lineRule="auto"/>
        <w:ind w:left="708" w:firstLine="0"/>
        <w:rPr>
          <w:rFonts w:cs="Arial"/>
        </w:rPr>
      </w:pPr>
      <w:r>
        <w:rPr>
          <w:rFonts w:cs="Arial"/>
        </w:rPr>
        <w:t>El ligamento freno esofágico.</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En reposo el esfínter esofágico inferior se en</w:t>
      </w:r>
      <w:r>
        <w:rPr>
          <w:rFonts w:cs="Arial"/>
        </w:rPr>
        <w:t xml:space="preserve">cuentra en estado tónico, con una tensión que va de los 10 hasta los 45 mmHg. </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 w:val="left" w:pos="851"/>
        </w:tabs>
        <w:spacing w:line="480" w:lineRule="auto"/>
        <w:ind w:left="708"/>
        <w:rPr>
          <w:rFonts w:cs="Arial"/>
        </w:rPr>
      </w:pPr>
      <w:r>
        <w:rPr>
          <w:rFonts w:cs="Arial"/>
        </w:rPr>
        <w:lastRenderedPageBreak/>
        <w:t>Al deglutir el esfínter esofágico inferior, se relaja rápidamente en respuesta a la descarga neural, iniciada por la deglución y permanece relajado, hasta que la onda peristált</w:t>
      </w:r>
      <w:r>
        <w:rPr>
          <w:rFonts w:cs="Arial"/>
        </w:rPr>
        <w:t>ica, alcanza al final del esófago y se produce el cierre de este esfínter.</w:t>
      </w:r>
    </w:p>
    <w:p w:rsidR="00000000" w:rsidRDefault="00BC67ED">
      <w:pPr>
        <w:pStyle w:val="Textoindependiente3"/>
        <w:tabs>
          <w:tab w:val="num" w:pos="720"/>
        </w:tabs>
        <w:spacing w:line="360" w:lineRule="auto"/>
        <w:rPr>
          <w:rFonts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Funciones Fisiológicas</w:t>
      </w:r>
      <w:r>
        <w:rPr>
          <w:rFonts w:ascii="Arial" w:hAnsi="Arial" w:cs="Arial"/>
          <w:b/>
          <w:lang w:val="es-ES"/>
        </w:rPr>
        <w:t xml:space="preserve"> del E</w:t>
      </w:r>
      <w:r>
        <w:rPr>
          <w:rFonts w:ascii="Arial" w:hAnsi="Arial" w:cs="Arial"/>
          <w:b/>
        </w:rPr>
        <w:t>sfínter</w:t>
      </w:r>
      <w:r>
        <w:rPr>
          <w:rStyle w:val="Refdenotaalpie"/>
          <w:rFonts w:ascii="Arial" w:hAnsi="Arial" w:cs="Arial"/>
          <w:b/>
        </w:rPr>
        <w:footnoteReference w:id="14"/>
      </w:r>
      <w:r>
        <w:rPr>
          <w:rFonts w:cs="Arial"/>
        </w:rPr>
        <w:t xml:space="preserve"> </w:t>
      </w:r>
      <w:r>
        <w:rPr>
          <w:rFonts w:ascii="Arial" w:hAnsi="Arial" w:cs="Arial"/>
          <w:b/>
          <w:vanish/>
          <w:lang w:val="es-ES"/>
        </w:rPr>
        <w:t xml:space="preserve"> rh</w:t>
      </w:r>
      <w:r>
        <w:rPr>
          <w:rFonts w:ascii="Arial" w:hAnsi="Arial" w:cs="Arial"/>
          <w:b/>
          <w:vanish/>
          <w:lang w:val="es-ES"/>
        </w:rPr>
        <w:cr/>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r>
        <w:rPr>
          <w:rFonts w:ascii="Arial" w:hAnsi="Arial" w:cs="Arial"/>
          <w:b/>
          <w:vanish/>
          <w:lang w:val="es-ES"/>
        </w:rPr>
        <w:pgNum/>
      </w:r>
    </w:p>
    <w:p w:rsidR="00000000" w:rsidRDefault="00BC67ED">
      <w:pPr>
        <w:pStyle w:val="Textoindependiente3"/>
        <w:tabs>
          <w:tab w:val="left" w:pos="567"/>
          <w:tab w:val="num" w:pos="720"/>
        </w:tabs>
        <w:spacing w:line="480" w:lineRule="auto"/>
        <w:ind w:left="708"/>
        <w:rPr>
          <w:rFonts w:cs="Arial"/>
        </w:rPr>
      </w:pPr>
      <w:r>
        <w:rPr>
          <w:rFonts w:cs="Arial"/>
        </w:rPr>
        <w:t>El esfínter reali</w:t>
      </w:r>
      <w:r>
        <w:rPr>
          <w:rFonts w:cs="Arial"/>
        </w:rPr>
        <w:t>za dos importantes funciones fisiológicas:</w:t>
      </w:r>
    </w:p>
    <w:p w:rsidR="00000000" w:rsidRDefault="00BC67ED">
      <w:pPr>
        <w:pStyle w:val="Textoindependiente3"/>
        <w:tabs>
          <w:tab w:val="left" w:pos="567"/>
          <w:tab w:val="num" w:pos="720"/>
        </w:tabs>
        <w:spacing w:line="360" w:lineRule="auto"/>
        <w:ind w:left="708"/>
        <w:rPr>
          <w:rFonts w:cs="Arial"/>
        </w:rPr>
      </w:pPr>
    </w:p>
    <w:p w:rsidR="00000000" w:rsidRDefault="00BC67ED" w:rsidP="00BC67ED">
      <w:pPr>
        <w:pStyle w:val="Textoindependiente3"/>
        <w:numPr>
          <w:ilvl w:val="0"/>
          <w:numId w:val="7"/>
        </w:numPr>
        <w:tabs>
          <w:tab w:val="clear" w:pos="720"/>
          <w:tab w:val="num" w:pos="1428"/>
          <w:tab w:val="num" w:pos="2136"/>
        </w:tabs>
        <w:spacing w:line="480" w:lineRule="auto"/>
        <w:ind w:left="708" w:firstLine="0"/>
        <w:rPr>
          <w:rFonts w:cs="Arial"/>
        </w:rPr>
      </w:pPr>
      <w:r>
        <w:rPr>
          <w:rFonts w:cs="Arial"/>
        </w:rPr>
        <w:t>La primera es evitar el reflujo gastroesofágico.</w:t>
      </w:r>
    </w:p>
    <w:p w:rsidR="00000000" w:rsidRDefault="00BC67ED" w:rsidP="00BC67ED">
      <w:pPr>
        <w:pStyle w:val="Textoindependiente3"/>
        <w:numPr>
          <w:ilvl w:val="0"/>
          <w:numId w:val="7"/>
        </w:numPr>
        <w:tabs>
          <w:tab w:val="clear" w:pos="720"/>
          <w:tab w:val="num" w:pos="1428"/>
          <w:tab w:val="num" w:pos="2136"/>
        </w:tabs>
        <w:spacing w:line="480" w:lineRule="auto"/>
        <w:ind w:left="708" w:firstLine="0"/>
        <w:rPr>
          <w:rFonts w:cs="Arial"/>
        </w:rPr>
      </w:pPr>
      <w:r>
        <w:rPr>
          <w:rFonts w:cs="Arial"/>
        </w:rPr>
        <w:t>La segunda es la relajación en la deglución, permitiendo la entrada del material ingerido al estómago.</w:t>
      </w:r>
    </w:p>
    <w:p w:rsidR="00000000" w:rsidRDefault="00BC67ED">
      <w:pPr>
        <w:pStyle w:val="Textoindependiente3"/>
        <w:tabs>
          <w:tab w:val="num" w:pos="720"/>
        </w:tabs>
        <w:spacing w:line="480" w:lineRule="auto"/>
        <w:ind w:left="708"/>
        <w:rPr>
          <w:rFonts w:cs="Arial"/>
        </w:rPr>
      </w:pPr>
      <w:r>
        <w:rPr>
          <w:rFonts w:cs="Arial"/>
        </w:rPr>
        <w:t>Debe recordarse que los mecanismos de relajación del esfínte</w:t>
      </w:r>
      <w:r>
        <w:rPr>
          <w:rFonts w:cs="Arial"/>
        </w:rPr>
        <w:t>r esofágico inferior, como respuesta a una deglución, aún no son bien conocidos.</w:t>
      </w:r>
    </w:p>
    <w:p w:rsidR="00000000" w:rsidRDefault="00BC67ED">
      <w:pPr>
        <w:pStyle w:val="Textoindependiente3"/>
        <w:tabs>
          <w:tab w:val="num" w:pos="720"/>
        </w:tabs>
        <w:spacing w:line="360" w:lineRule="auto"/>
        <w:ind w:left="708"/>
        <w:rPr>
          <w:rFonts w:cs="Arial"/>
        </w:rPr>
      </w:pPr>
    </w:p>
    <w:p w:rsidR="00000000" w:rsidRDefault="00BC67ED">
      <w:pPr>
        <w:tabs>
          <w:tab w:val="num" w:pos="720"/>
        </w:tabs>
        <w:spacing w:line="480" w:lineRule="auto"/>
        <w:ind w:left="708" w:right="-2"/>
        <w:jc w:val="both"/>
        <w:rPr>
          <w:rFonts w:ascii="Arial" w:hAnsi="Arial" w:cs="Arial"/>
        </w:rPr>
      </w:pPr>
      <w:r>
        <w:rPr>
          <w:rFonts w:ascii="Arial" w:hAnsi="Arial" w:cs="Arial"/>
        </w:rPr>
        <w:t>Se piensa que la relajación viene vagamente, pero podría ser por vía simpática, en esta función intervendrían los nervios colinérgicos preganglionares y los nervios no adrené</w:t>
      </w:r>
      <w:r>
        <w:rPr>
          <w:rFonts w:ascii="Arial" w:hAnsi="Arial" w:cs="Arial"/>
        </w:rPr>
        <w:t>rgicos, posganglionares.</w:t>
      </w: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Factores Extraesofágicos</w:t>
      </w:r>
      <w:r>
        <w:rPr>
          <w:rStyle w:val="Refdenotaalpie"/>
          <w:rFonts w:ascii="Arial" w:hAnsi="Arial" w:cs="Arial"/>
          <w:b/>
        </w:rPr>
        <w:footnoteReference w:id="15"/>
      </w:r>
    </w:p>
    <w:p w:rsidR="00000000" w:rsidRDefault="00BC67ED">
      <w:pPr>
        <w:pStyle w:val="Textoindependiente3"/>
        <w:tabs>
          <w:tab w:val="num" w:pos="720"/>
        </w:tabs>
        <w:spacing w:line="480" w:lineRule="auto"/>
        <w:rPr>
          <w:rFonts w:cs="Arial"/>
        </w:rPr>
      </w:pPr>
    </w:p>
    <w:p w:rsidR="00000000" w:rsidRDefault="00BC67ED">
      <w:pPr>
        <w:pStyle w:val="Textoindependiente3"/>
        <w:tabs>
          <w:tab w:val="num" w:pos="720"/>
        </w:tabs>
        <w:spacing w:line="480" w:lineRule="auto"/>
        <w:ind w:left="708"/>
        <w:rPr>
          <w:rFonts w:cs="Arial"/>
        </w:rPr>
      </w:pPr>
      <w:r>
        <w:rPr>
          <w:rFonts w:cs="Arial"/>
        </w:rPr>
        <w:t>Existen factores extraesofágicos que varían las presiones del esfínter esofágico inferior.</w:t>
      </w:r>
    </w:p>
    <w:p w:rsidR="00000000" w:rsidRDefault="00BC67ED">
      <w:pPr>
        <w:pStyle w:val="Textoindependiente3"/>
        <w:tabs>
          <w:tab w:val="num" w:pos="720"/>
        </w:tabs>
        <w:spacing w:line="480" w:lineRule="auto"/>
        <w:ind w:left="708"/>
        <w:rPr>
          <w:rFonts w:cs="Arial"/>
        </w:rPr>
      </w:pPr>
    </w:p>
    <w:p w:rsidR="00000000" w:rsidRDefault="00BC67ED" w:rsidP="00BC67ED">
      <w:pPr>
        <w:pStyle w:val="Textoindependiente3"/>
        <w:numPr>
          <w:ilvl w:val="0"/>
          <w:numId w:val="8"/>
        </w:numPr>
        <w:tabs>
          <w:tab w:val="num" w:pos="1428"/>
        </w:tabs>
        <w:spacing w:line="480" w:lineRule="auto"/>
        <w:ind w:left="708" w:firstLine="0"/>
        <w:rPr>
          <w:rFonts w:cs="Arial"/>
        </w:rPr>
      </w:pPr>
      <w:r>
        <w:rPr>
          <w:rFonts w:cs="Arial"/>
        </w:rPr>
        <w:t>Los que reducen la presión de este esfínter son:</w:t>
      </w:r>
    </w:p>
    <w:p w:rsidR="00000000" w:rsidRDefault="00BC67ED">
      <w:pPr>
        <w:pStyle w:val="Textoindependiente3"/>
        <w:tabs>
          <w:tab w:val="num" w:pos="720"/>
        </w:tabs>
        <w:spacing w:line="480" w:lineRule="auto"/>
        <w:ind w:left="708"/>
        <w:rPr>
          <w:rFonts w:cs="Arial"/>
        </w:rPr>
      </w:pPr>
      <w:r>
        <w:rPr>
          <w:rFonts w:cs="Arial"/>
        </w:rPr>
        <w:t>Chocolate, tabaco, grasas, secretinas.</w:t>
      </w:r>
    </w:p>
    <w:p w:rsidR="00000000" w:rsidRDefault="00BC67ED">
      <w:pPr>
        <w:pStyle w:val="Textoindependiente3"/>
        <w:tabs>
          <w:tab w:val="num" w:pos="720"/>
        </w:tabs>
        <w:spacing w:line="480" w:lineRule="auto"/>
        <w:ind w:left="708"/>
        <w:rPr>
          <w:rFonts w:cs="Arial"/>
        </w:rPr>
      </w:pPr>
    </w:p>
    <w:p w:rsidR="00000000" w:rsidRDefault="00BC67ED" w:rsidP="00BC67ED">
      <w:pPr>
        <w:pStyle w:val="Textoindependiente3"/>
        <w:numPr>
          <w:ilvl w:val="0"/>
          <w:numId w:val="8"/>
        </w:numPr>
        <w:tabs>
          <w:tab w:val="num" w:pos="1428"/>
        </w:tabs>
        <w:spacing w:line="480" w:lineRule="auto"/>
        <w:ind w:left="708" w:firstLine="0"/>
        <w:rPr>
          <w:rFonts w:cs="Arial"/>
        </w:rPr>
      </w:pPr>
      <w:r>
        <w:rPr>
          <w:rFonts w:cs="Arial"/>
        </w:rPr>
        <w:t>Los que aumentan la pre</w:t>
      </w:r>
      <w:r>
        <w:rPr>
          <w:rFonts w:cs="Arial"/>
        </w:rPr>
        <w:t>sión del esfínter esofágico inferior son:</w:t>
      </w:r>
    </w:p>
    <w:p w:rsidR="00000000" w:rsidRDefault="00BC67ED">
      <w:pPr>
        <w:tabs>
          <w:tab w:val="num" w:pos="720"/>
        </w:tabs>
        <w:spacing w:line="480" w:lineRule="auto"/>
        <w:ind w:left="708" w:right="641"/>
        <w:jc w:val="both"/>
        <w:rPr>
          <w:rFonts w:ascii="Arial" w:hAnsi="Arial" w:cs="Arial"/>
        </w:rPr>
      </w:pPr>
      <w:r>
        <w:rPr>
          <w:rFonts w:ascii="Arial" w:hAnsi="Arial" w:cs="Arial"/>
        </w:rPr>
        <w:t>Proteínas, gastrina, polipéptido pancreático, motilina, sustancia P, bombesina.</w:t>
      </w:r>
    </w:p>
    <w:p w:rsidR="00000000" w:rsidRDefault="00BC67ED">
      <w:pPr>
        <w:tabs>
          <w:tab w:val="num" w:pos="720"/>
        </w:tabs>
        <w:spacing w:line="480" w:lineRule="auto"/>
        <w:ind w:right="641"/>
        <w:jc w:val="both"/>
        <w:rPr>
          <w:rFonts w:ascii="Arial" w:hAnsi="Arial" w:cs="Arial"/>
          <w:b/>
          <w:lang w:val="es-ES"/>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t>Histología del Esófago</w:t>
      </w:r>
    </w:p>
    <w:p w:rsidR="00000000" w:rsidRDefault="00BC67ED">
      <w:pPr>
        <w:pStyle w:val="Textoindependiente3"/>
        <w:tabs>
          <w:tab w:val="num" w:pos="720"/>
        </w:tabs>
        <w:spacing w:line="480" w:lineRule="auto"/>
        <w:ind w:left="708"/>
        <w:rPr>
          <w:rFonts w:cs="Arial"/>
        </w:rPr>
      </w:pPr>
      <w:r>
        <w:rPr>
          <w:rFonts w:cs="Arial"/>
        </w:rPr>
        <w:t>Histológicamente el esófago consta de:</w:t>
      </w:r>
    </w:p>
    <w:p w:rsidR="00000000" w:rsidRDefault="00BC67ED" w:rsidP="00BC67ED">
      <w:pPr>
        <w:pStyle w:val="Textoindependiente3"/>
        <w:numPr>
          <w:ilvl w:val="0"/>
          <w:numId w:val="9"/>
        </w:numPr>
        <w:tabs>
          <w:tab w:val="num" w:pos="1428"/>
        </w:tabs>
        <w:spacing w:line="480" w:lineRule="auto"/>
        <w:ind w:left="708" w:firstLine="0"/>
        <w:rPr>
          <w:rFonts w:cs="Arial"/>
        </w:rPr>
      </w:pPr>
      <w:r>
        <w:rPr>
          <w:rFonts w:cs="Arial"/>
        </w:rPr>
        <w:t>La capa mucosa con un epitelio pavimentoso estratificado.</w:t>
      </w:r>
    </w:p>
    <w:p w:rsidR="00000000" w:rsidRDefault="00BC67ED" w:rsidP="00BC67ED">
      <w:pPr>
        <w:pStyle w:val="Textoindependiente3"/>
        <w:numPr>
          <w:ilvl w:val="0"/>
          <w:numId w:val="9"/>
        </w:numPr>
        <w:tabs>
          <w:tab w:val="num" w:pos="1428"/>
        </w:tabs>
        <w:spacing w:line="480" w:lineRule="auto"/>
        <w:ind w:left="708" w:firstLine="0"/>
        <w:rPr>
          <w:rFonts w:cs="Arial"/>
        </w:rPr>
      </w:pPr>
      <w:r>
        <w:rPr>
          <w:rFonts w:cs="Arial"/>
        </w:rPr>
        <w:t>Muscularis mu</w:t>
      </w:r>
      <w:r>
        <w:rPr>
          <w:rFonts w:cs="Arial"/>
        </w:rPr>
        <w:t>cosae.</w:t>
      </w:r>
    </w:p>
    <w:p w:rsidR="00000000" w:rsidRDefault="00BC67ED" w:rsidP="00BC67ED">
      <w:pPr>
        <w:pStyle w:val="Textoindependiente3"/>
        <w:numPr>
          <w:ilvl w:val="0"/>
          <w:numId w:val="9"/>
        </w:numPr>
        <w:tabs>
          <w:tab w:val="num" w:pos="1428"/>
        </w:tabs>
        <w:spacing w:line="480" w:lineRule="auto"/>
        <w:ind w:left="708" w:firstLine="0"/>
        <w:rPr>
          <w:rFonts w:cs="Arial"/>
        </w:rPr>
      </w:pPr>
      <w:r>
        <w:rPr>
          <w:rFonts w:cs="Arial"/>
        </w:rPr>
        <w:t>La submucosa.</w:t>
      </w:r>
    </w:p>
    <w:p w:rsidR="00000000" w:rsidRDefault="00BC67ED" w:rsidP="00BC67ED">
      <w:pPr>
        <w:pStyle w:val="Textoindependiente3"/>
        <w:numPr>
          <w:ilvl w:val="0"/>
          <w:numId w:val="9"/>
        </w:numPr>
        <w:tabs>
          <w:tab w:val="num" w:pos="1428"/>
        </w:tabs>
        <w:spacing w:line="480" w:lineRule="auto"/>
        <w:ind w:left="708" w:firstLine="0"/>
        <w:rPr>
          <w:rFonts w:cs="Arial"/>
        </w:rPr>
      </w:pPr>
      <w:r>
        <w:rPr>
          <w:rFonts w:cs="Arial"/>
        </w:rPr>
        <w:t>La capa muscular, de las cuales, su tercio superior son fibras estriadas.  En sus dos tercios inferiores, son fibras lisas tanto circular como longitudinal.</w:t>
      </w: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Irrigación del Esófago</w:t>
      </w:r>
      <w:r>
        <w:rPr>
          <w:rStyle w:val="Refdenotaalpie"/>
          <w:rFonts w:ascii="Arial" w:hAnsi="Arial" w:cs="Arial"/>
          <w:b/>
        </w:rPr>
        <w:footnoteReference w:id="16"/>
      </w:r>
    </w:p>
    <w:p w:rsidR="00000000" w:rsidRDefault="00BC67ED">
      <w:pPr>
        <w:pStyle w:val="Textoindependiente3"/>
        <w:tabs>
          <w:tab w:val="num" w:pos="720"/>
        </w:tabs>
        <w:spacing w:line="480" w:lineRule="auto"/>
        <w:ind w:left="708"/>
        <w:rPr>
          <w:rFonts w:cs="Arial"/>
        </w:rPr>
      </w:pPr>
      <w:r>
        <w:rPr>
          <w:rFonts w:cs="Arial"/>
        </w:rPr>
        <w:lastRenderedPageBreak/>
        <w:t>En cuanto a la irrigación del esófago podemos decir qu</w:t>
      </w:r>
      <w:r>
        <w:rPr>
          <w:rFonts w:cs="Arial"/>
        </w:rPr>
        <w:t>e la dividimos en 3 sectores:</w:t>
      </w:r>
    </w:p>
    <w:p w:rsidR="00000000" w:rsidRDefault="00BC67ED">
      <w:pPr>
        <w:pStyle w:val="Textoindependiente3"/>
        <w:tabs>
          <w:tab w:val="num" w:pos="720"/>
        </w:tabs>
        <w:spacing w:line="360" w:lineRule="auto"/>
        <w:ind w:left="708"/>
        <w:rPr>
          <w:rFonts w:cs="Arial"/>
        </w:rPr>
      </w:pPr>
    </w:p>
    <w:p w:rsidR="00000000" w:rsidRDefault="00BC67ED">
      <w:pPr>
        <w:pStyle w:val="Textoindependiente3"/>
        <w:tabs>
          <w:tab w:val="num" w:pos="720"/>
        </w:tabs>
        <w:spacing w:line="360" w:lineRule="auto"/>
        <w:ind w:left="708"/>
        <w:rPr>
          <w:rFonts w:cs="Arial"/>
          <w:b/>
          <w:u w:val="single"/>
        </w:rPr>
      </w:pPr>
      <w:r>
        <w:rPr>
          <w:rFonts w:cs="Arial"/>
          <w:b/>
          <w:u w:val="single"/>
        </w:rPr>
        <w:t>En el cuello:</w:t>
      </w:r>
    </w:p>
    <w:p w:rsidR="00000000" w:rsidRDefault="00BC67ED">
      <w:pPr>
        <w:pStyle w:val="Textoindependiente3"/>
        <w:tabs>
          <w:tab w:val="num" w:pos="720"/>
        </w:tabs>
        <w:spacing w:line="360" w:lineRule="auto"/>
        <w:ind w:left="708"/>
        <w:rPr>
          <w:rFonts w:cs="Arial"/>
        </w:rPr>
      </w:pPr>
    </w:p>
    <w:p w:rsidR="00000000" w:rsidRDefault="00BC67ED" w:rsidP="00BC67ED">
      <w:pPr>
        <w:pStyle w:val="Textoindependiente3"/>
        <w:numPr>
          <w:ilvl w:val="0"/>
          <w:numId w:val="11"/>
        </w:numPr>
        <w:tabs>
          <w:tab w:val="num" w:pos="1428"/>
        </w:tabs>
        <w:spacing w:line="480" w:lineRule="auto"/>
        <w:ind w:left="708" w:firstLine="0"/>
        <w:rPr>
          <w:rFonts w:cs="Arial"/>
        </w:rPr>
      </w:pPr>
      <w:r>
        <w:rPr>
          <w:rFonts w:cs="Arial"/>
        </w:rPr>
        <w:t>La arteria tiroidea inferior, rama de la subclavia.</w:t>
      </w:r>
    </w:p>
    <w:p w:rsidR="00000000" w:rsidRDefault="00BC67ED" w:rsidP="00BC67ED">
      <w:pPr>
        <w:pStyle w:val="Textoindependiente3"/>
        <w:numPr>
          <w:ilvl w:val="0"/>
          <w:numId w:val="11"/>
        </w:numPr>
        <w:tabs>
          <w:tab w:val="num" w:pos="1428"/>
        </w:tabs>
        <w:spacing w:line="480" w:lineRule="auto"/>
        <w:ind w:left="708" w:firstLine="0"/>
        <w:rPr>
          <w:rFonts w:cs="Arial"/>
        </w:rPr>
      </w:pPr>
      <w:r>
        <w:rPr>
          <w:rFonts w:cs="Arial"/>
        </w:rPr>
        <w:t>Las arterias esofágicas superiores.</w:t>
      </w:r>
    </w:p>
    <w:p w:rsidR="00000000" w:rsidRDefault="00BC67ED">
      <w:pPr>
        <w:pStyle w:val="Textoindependiente3"/>
        <w:tabs>
          <w:tab w:val="num" w:pos="720"/>
        </w:tabs>
        <w:spacing w:line="360" w:lineRule="auto"/>
        <w:ind w:left="708"/>
        <w:rPr>
          <w:rFonts w:cs="Arial"/>
          <w:b/>
          <w:u w:val="single"/>
        </w:rPr>
      </w:pPr>
    </w:p>
    <w:p w:rsidR="00000000" w:rsidRDefault="00BC67ED">
      <w:pPr>
        <w:pStyle w:val="Textoindependiente3"/>
        <w:tabs>
          <w:tab w:val="num" w:pos="720"/>
        </w:tabs>
        <w:spacing w:line="360" w:lineRule="auto"/>
        <w:ind w:left="708"/>
        <w:rPr>
          <w:rFonts w:cs="Arial"/>
          <w:b/>
          <w:u w:val="single"/>
        </w:rPr>
      </w:pPr>
      <w:r>
        <w:rPr>
          <w:rFonts w:cs="Arial"/>
          <w:b/>
          <w:u w:val="single"/>
        </w:rPr>
        <w:t>En el tórax:</w:t>
      </w:r>
    </w:p>
    <w:p w:rsidR="00000000" w:rsidRDefault="00BC67ED">
      <w:pPr>
        <w:pStyle w:val="Textoindependiente3"/>
        <w:tabs>
          <w:tab w:val="num" w:pos="720"/>
        </w:tabs>
        <w:spacing w:line="360" w:lineRule="auto"/>
        <w:ind w:left="708"/>
        <w:rPr>
          <w:rFonts w:cs="Arial"/>
        </w:rPr>
      </w:pPr>
    </w:p>
    <w:p w:rsidR="00000000" w:rsidRDefault="00BC67ED" w:rsidP="00BC67ED">
      <w:pPr>
        <w:pStyle w:val="Textoindependiente3"/>
        <w:numPr>
          <w:ilvl w:val="0"/>
          <w:numId w:val="10"/>
        </w:numPr>
        <w:tabs>
          <w:tab w:val="num" w:pos="1428"/>
        </w:tabs>
        <w:spacing w:line="480" w:lineRule="auto"/>
        <w:ind w:left="708" w:firstLine="0"/>
        <w:rPr>
          <w:rFonts w:cs="Arial"/>
        </w:rPr>
      </w:pPr>
      <w:r>
        <w:rPr>
          <w:rFonts w:cs="Arial"/>
        </w:rPr>
        <w:t>Las arterias bronquiales.</w:t>
      </w:r>
    </w:p>
    <w:p w:rsidR="00000000" w:rsidRDefault="00BC67ED" w:rsidP="00BC67ED">
      <w:pPr>
        <w:pStyle w:val="Textoindependiente3"/>
        <w:numPr>
          <w:ilvl w:val="0"/>
          <w:numId w:val="10"/>
        </w:numPr>
        <w:tabs>
          <w:tab w:val="num" w:pos="1428"/>
        </w:tabs>
        <w:spacing w:line="480" w:lineRule="auto"/>
        <w:ind w:left="708" w:firstLine="0"/>
        <w:rPr>
          <w:rFonts w:cs="Arial"/>
        </w:rPr>
      </w:pPr>
      <w:r>
        <w:rPr>
          <w:rFonts w:cs="Arial"/>
        </w:rPr>
        <w:t>Las arterias esofágicas medias, ramas de la aorta.</w:t>
      </w:r>
    </w:p>
    <w:p w:rsidR="00000000" w:rsidRDefault="00BC67ED" w:rsidP="00BC67ED">
      <w:pPr>
        <w:pStyle w:val="Textoindependiente3"/>
        <w:numPr>
          <w:ilvl w:val="0"/>
          <w:numId w:val="10"/>
        </w:numPr>
        <w:tabs>
          <w:tab w:val="num" w:pos="1428"/>
        </w:tabs>
        <w:spacing w:line="480" w:lineRule="auto"/>
        <w:ind w:left="708" w:firstLine="0"/>
        <w:rPr>
          <w:rFonts w:cs="Arial"/>
        </w:rPr>
      </w:pPr>
      <w:r>
        <w:rPr>
          <w:rFonts w:cs="Arial"/>
        </w:rPr>
        <w:t>Las arterias intercostales.</w:t>
      </w:r>
    </w:p>
    <w:p w:rsidR="00000000" w:rsidRDefault="00BC67ED">
      <w:pPr>
        <w:pStyle w:val="Textoindependiente3"/>
        <w:tabs>
          <w:tab w:val="num" w:pos="720"/>
        </w:tabs>
        <w:spacing w:line="360" w:lineRule="auto"/>
        <w:ind w:left="708"/>
        <w:rPr>
          <w:rFonts w:cs="Arial"/>
          <w:b/>
          <w:u w:val="single"/>
        </w:rPr>
      </w:pPr>
    </w:p>
    <w:p w:rsidR="00000000" w:rsidRDefault="00BC67ED">
      <w:pPr>
        <w:pStyle w:val="Textoindependiente3"/>
        <w:tabs>
          <w:tab w:val="num" w:pos="720"/>
        </w:tabs>
        <w:spacing w:line="360" w:lineRule="auto"/>
        <w:ind w:left="708"/>
        <w:rPr>
          <w:rFonts w:cs="Arial"/>
          <w:b/>
          <w:u w:val="single"/>
        </w:rPr>
      </w:pPr>
      <w:r>
        <w:rPr>
          <w:rFonts w:cs="Arial"/>
          <w:b/>
          <w:u w:val="single"/>
        </w:rPr>
        <w:t>E</w:t>
      </w:r>
      <w:r>
        <w:rPr>
          <w:rFonts w:cs="Arial"/>
          <w:b/>
          <w:u w:val="single"/>
        </w:rPr>
        <w:t>n el abdomen:</w:t>
      </w:r>
    </w:p>
    <w:p w:rsidR="00000000" w:rsidRDefault="00BC67ED">
      <w:pPr>
        <w:pStyle w:val="Textoindependiente3"/>
        <w:tabs>
          <w:tab w:val="num" w:pos="720"/>
        </w:tabs>
        <w:spacing w:line="360" w:lineRule="auto"/>
        <w:ind w:left="708"/>
        <w:rPr>
          <w:rFonts w:cs="Arial"/>
        </w:rPr>
      </w:pPr>
    </w:p>
    <w:p w:rsidR="00000000" w:rsidRDefault="00BC67ED" w:rsidP="00BC67ED">
      <w:pPr>
        <w:pStyle w:val="Textoindependiente3"/>
        <w:numPr>
          <w:ilvl w:val="0"/>
          <w:numId w:val="12"/>
        </w:numPr>
        <w:tabs>
          <w:tab w:val="num" w:pos="1428"/>
        </w:tabs>
        <w:spacing w:line="480" w:lineRule="auto"/>
        <w:ind w:left="708" w:firstLine="0"/>
        <w:rPr>
          <w:rFonts w:cs="Arial"/>
        </w:rPr>
      </w:pPr>
      <w:r>
        <w:rPr>
          <w:rFonts w:cs="Arial"/>
        </w:rPr>
        <w:t>Las arterias esofágicas inferiores que provienen de las diafragmáticas inferiores.</w:t>
      </w:r>
    </w:p>
    <w:p w:rsidR="00000000" w:rsidRDefault="00BC67ED" w:rsidP="00BC67ED">
      <w:pPr>
        <w:pStyle w:val="Textoindependiente3"/>
        <w:numPr>
          <w:ilvl w:val="0"/>
          <w:numId w:val="12"/>
        </w:numPr>
        <w:tabs>
          <w:tab w:val="num" w:pos="1428"/>
        </w:tabs>
        <w:spacing w:line="480" w:lineRule="auto"/>
        <w:ind w:left="708" w:firstLine="0"/>
        <w:rPr>
          <w:rFonts w:cs="Arial"/>
        </w:rPr>
      </w:pPr>
      <w:r>
        <w:rPr>
          <w:rFonts w:cs="Arial"/>
        </w:rPr>
        <w:t>Arterias que provienen de la gástrica izquierda.</w:t>
      </w:r>
    </w:p>
    <w:p w:rsidR="00000000" w:rsidRDefault="00BC67ED">
      <w:pPr>
        <w:tabs>
          <w:tab w:val="num" w:pos="720"/>
        </w:tabs>
        <w:spacing w:line="480" w:lineRule="auto"/>
        <w:ind w:right="641"/>
        <w:jc w:val="both"/>
        <w:rPr>
          <w:rFonts w:ascii="Arial" w:hAnsi="Arial" w:cs="Arial"/>
          <w:b/>
          <w:lang w:val="es-ES"/>
        </w:rPr>
      </w:pPr>
    </w:p>
    <w:p w:rsidR="00000000" w:rsidRDefault="00BC67ED">
      <w:pPr>
        <w:tabs>
          <w:tab w:val="num" w:pos="720"/>
        </w:tabs>
        <w:spacing w:line="480" w:lineRule="auto"/>
        <w:ind w:right="641"/>
        <w:jc w:val="both"/>
        <w:rPr>
          <w:rFonts w:ascii="Arial" w:hAnsi="Arial" w:cs="Arial"/>
          <w:b/>
          <w:lang w:val="es-ES"/>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bCs/>
        </w:rPr>
        <w:t>Sintomatología Esofágica</w:t>
      </w:r>
      <w:r>
        <w:rPr>
          <w:rStyle w:val="Refdenotaalpie"/>
          <w:rFonts w:ascii="Arial" w:hAnsi="Arial" w:cs="Arial"/>
          <w:b/>
          <w:bCs/>
        </w:rPr>
        <w:footnoteReference w:id="17"/>
      </w:r>
    </w:p>
    <w:p w:rsidR="00000000" w:rsidRDefault="00BC67ED">
      <w:pPr>
        <w:pStyle w:val="NormalWeb"/>
        <w:tabs>
          <w:tab w:val="num" w:pos="720"/>
        </w:tabs>
        <w:spacing w:line="480" w:lineRule="auto"/>
        <w:ind w:left="708"/>
        <w:jc w:val="both"/>
        <w:rPr>
          <w:rFonts w:ascii="Arial" w:hAnsi="Arial" w:cs="Arial"/>
          <w:bCs/>
        </w:rPr>
      </w:pPr>
      <w:r>
        <w:rPr>
          <w:rFonts w:ascii="Arial" w:hAnsi="Arial" w:cs="Arial"/>
          <w:bCs/>
        </w:rPr>
        <w:lastRenderedPageBreak/>
        <w:t>El esófago como cualquier otro órgano puede presentar alteraciones de su morfolog</w:t>
      </w:r>
      <w:r>
        <w:rPr>
          <w:rFonts w:ascii="Arial" w:hAnsi="Arial" w:cs="Arial"/>
          <w:bCs/>
        </w:rPr>
        <w:t>ía o de su función, estas alteraciones que son detectadas por el paciente se denominan síntomas.</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Cs/>
        </w:rPr>
        <w:t>Los síntomas esofágicos mas frecuentes son: Disfagia, odinofagia, regurgitaciones, pirosis, agruras, nauseas y eructos.</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Disfagia.-</w:t>
      </w:r>
      <w:r>
        <w:rPr>
          <w:rFonts w:ascii="Arial" w:hAnsi="Arial" w:cs="Arial"/>
          <w:bCs/>
        </w:rPr>
        <w:t xml:space="preserve"> Es la dificultad en la deglu</w:t>
      </w:r>
      <w:r>
        <w:rPr>
          <w:rFonts w:ascii="Arial" w:hAnsi="Arial" w:cs="Arial"/>
          <w:bCs/>
        </w:rPr>
        <w:t xml:space="preserve">ción o en el paso de los alimentos a través del esófago. </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Odinofagia.-</w:t>
      </w:r>
      <w:r>
        <w:rPr>
          <w:rFonts w:ascii="Arial" w:hAnsi="Arial" w:cs="Arial"/>
          <w:bCs/>
        </w:rPr>
        <w:t xml:space="preserve"> Se denomina a la deglución dolorosa.</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Regurgitaciones.-</w:t>
      </w:r>
      <w:r>
        <w:rPr>
          <w:rFonts w:ascii="Arial" w:hAnsi="Arial" w:cs="Arial"/>
          <w:bCs/>
        </w:rPr>
        <w:t xml:space="preserve"> Es el regreso a la cavidad bucal del contenido gástrico, o esofágico sin la presencia de nauseas.</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Pirosis.-</w:t>
      </w:r>
      <w:r>
        <w:rPr>
          <w:rFonts w:ascii="Arial" w:hAnsi="Arial" w:cs="Arial"/>
          <w:bCs/>
        </w:rPr>
        <w:t xml:space="preserve"> Sensación de quemadura</w:t>
      </w:r>
      <w:r>
        <w:rPr>
          <w:rFonts w:ascii="Arial" w:hAnsi="Arial" w:cs="Arial"/>
          <w:bCs/>
        </w:rPr>
        <w:t xml:space="preserve"> localizada en la región retroesternal, o en la intersección de los cuadrantes superiores en su tercio superior.</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Agruras.-</w:t>
      </w:r>
      <w:r>
        <w:rPr>
          <w:rFonts w:ascii="Arial" w:hAnsi="Arial" w:cs="Arial"/>
          <w:bCs/>
        </w:rPr>
        <w:t xml:space="preserve"> Es la sensación de acidez que llega a la boca.</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Nauseas.-</w:t>
      </w:r>
      <w:r>
        <w:rPr>
          <w:rFonts w:ascii="Arial" w:hAnsi="Arial" w:cs="Arial"/>
          <w:bCs/>
        </w:rPr>
        <w:t xml:space="preserve"> Es una sensación subjetiva desagradable que usualmente, precede al vómito.</w:t>
      </w:r>
    </w:p>
    <w:p w:rsidR="00000000" w:rsidRDefault="00BC67ED">
      <w:pPr>
        <w:pStyle w:val="NormalWeb"/>
        <w:tabs>
          <w:tab w:val="num" w:pos="720"/>
        </w:tabs>
        <w:spacing w:line="480" w:lineRule="auto"/>
        <w:ind w:left="708"/>
        <w:jc w:val="both"/>
        <w:rPr>
          <w:rFonts w:ascii="Arial" w:hAnsi="Arial" w:cs="Arial"/>
          <w:bCs/>
        </w:rPr>
      </w:pPr>
      <w:r>
        <w:rPr>
          <w:rFonts w:ascii="Arial" w:hAnsi="Arial" w:cs="Arial"/>
          <w:b/>
          <w:bCs/>
        </w:rPr>
        <w:t>E</w:t>
      </w:r>
      <w:r>
        <w:rPr>
          <w:rFonts w:ascii="Arial" w:hAnsi="Arial" w:cs="Arial"/>
          <w:b/>
          <w:bCs/>
        </w:rPr>
        <w:t>ructos.-</w:t>
      </w:r>
      <w:r>
        <w:rPr>
          <w:rFonts w:ascii="Arial" w:hAnsi="Arial" w:cs="Arial"/>
          <w:bCs/>
        </w:rPr>
        <w:t xml:space="preserve"> Se denomina al acto de expulsar por la boca en forma de casi siempre ruidosa gases acumulados en el estómago.</w:t>
      </w: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bCs/>
        </w:rPr>
        <w:lastRenderedPageBreak/>
        <w:t>Exámenes</w:t>
      </w:r>
      <w:r>
        <w:rPr>
          <w:rFonts w:ascii="Arial" w:hAnsi="Arial" w:cs="Arial"/>
          <w:b/>
          <w:lang w:val="es-ES"/>
        </w:rPr>
        <w:t xml:space="preserve"> </w:t>
      </w:r>
      <w:r>
        <w:rPr>
          <w:rFonts w:ascii="Arial" w:hAnsi="Arial" w:cs="Arial"/>
          <w:b/>
          <w:bCs/>
        </w:rPr>
        <w:t>para el Estudio Esofágico.</w:t>
      </w:r>
      <w:r>
        <w:rPr>
          <w:rStyle w:val="Refdenotaalpie"/>
          <w:rFonts w:ascii="Arial" w:hAnsi="Arial" w:cs="Arial"/>
          <w:b/>
          <w:bCs/>
        </w:rPr>
        <w:footnoteReference w:id="18"/>
      </w:r>
    </w:p>
    <w:p w:rsidR="00000000" w:rsidRDefault="00BC67ED">
      <w:pPr>
        <w:pStyle w:val="NormalWeb"/>
        <w:tabs>
          <w:tab w:val="num" w:pos="720"/>
        </w:tabs>
        <w:spacing w:line="480" w:lineRule="auto"/>
        <w:ind w:left="708"/>
        <w:jc w:val="both"/>
        <w:rPr>
          <w:rFonts w:ascii="Arial" w:hAnsi="Arial" w:cs="Arial"/>
          <w:bCs/>
        </w:rPr>
      </w:pPr>
      <w:r>
        <w:rPr>
          <w:rFonts w:ascii="Arial" w:hAnsi="Arial" w:cs="Arial"/>
          <w:bCs/>
        </w:rPr>
        <w:t>Los exámenes que se utilizan para el estudio esofágico son:</w:t>
      </w:r>
    </w:p>
    <w:p w:rsidR="00000000" w:rsidRDefault="00BC67ED" w:rsidP="00BC67ED">
      <w:pPr>
        <w:pStyle w:val="NormalWeb"/>
        <w:numPr>
          <w:ilvl w:val="2"/>
          <w:numId w:val="37"/>
        </w:numPr>
        <w:spacing w:line="480" w:lineRule="auto"/>
        <w:jc w:val="both"/>
        <w:rPr>
          <w:rFonts w:ascii="Arial" w:hAnsi="Arial" w:cs="Arial"/>
          <w:bCs/>
        </w:rPr>
      </w:pPr>
      <w:r>
        <w:rPr>
          <w:rFonts w:ascii="Arial" w:hAnsi="Arial" w:cs="Arial"/>
          <w:bCs/>
        </w:rPr>
        <w:t>Esofagograma.</w:t>
      </w:r>
    </w:p>
    <w:p w:rsidR="00000000" w:rsidRDefault="00BC67ED" w:rsidP="00BC67ED">
      <w:pPr>
        <w:pStyle w:val="NormalWeb"/>
        <w:numPr>
          <w:ilvl w:val="2"/>
          <w:numId w:val="37"/>
        </w:numPr>
        <w:spacing w:line="480" w:lineRule="auto"/>
        <w:jc w:val="both"/>
        <w:rPr>
          <w:rFonts w:ascii="Arial" w:hAnsi="Arial" w:cs="Arial"/>
          <w:bCs/>
        </w:rPr>
      </w:pPr>
      <w:r>
        <w:rPr>
          <w:rFonts w:ascii="Arial" w:hAnsi="Arial" w:cs="Arial"/>
          <w:bCs/>
        </w:rPr>
        <w:t xml:space="preserve">Endoscopìa </w:t>
      </w:r>
    </w:p>
    <w:p w:rsidR="00000000" w:rsidRDefault="00BC67ED" w:rsidP="00BC67ED">
      <w:pPr>
        <w:pStyle w:val="NormalWeb"/>
        <w:numPr>
          <w:ilvl w:val="2"/>
          <w:numId w:val="37"/>
        </w:numPr>
        <w:spacing w:line="480" w:lineRule="auto"/>
        <w:jc w:val="both"/>
        <w:rPr>
          <w:rFonts w:ascii="Arial" w:hAnsi="Arial" w:cs="Arial"/>
          <w:bCs/>
        </w:rPr>
      </w:pPr>
      <w:r>
        <w:rPr>
          <w:rFonts w:ascii="Arial" w:hAnsi="Arial" w:cs="Arial"/>
          <w:bCs/>
        </w:rPr>
        <w:t>Ph. Metría.</w:t>
      </w:r>
    </w:p>
    <w:p w:rsidR="00000000" w:rsidRDefault="00BC67ED">
      <w:pPr>
        <w:numPr>
          <w:ilvl w:val="1"/>
          <w:numId w:val="1"/>
        </w:numPr>
        <w:tabs>
          <w:tab w:val="clear" w:pos="1080"/>
          <w:tab w:val="num" w:pos="720"/>
        </w:tabs>
        <w:spacing w:line="480" w:lineRule="auto"/>
        <w:ind w:left="0" w:right="641" w:firstLine="0"/>
        <w:jc w:val="both"/>
        <w:rPr>
          <w:rFonts w:ascii="Arial" w:hAnsi="Arial" w:cs="Arial"/>
          <w:b/>
          <w:lang w:val="es-ES"/>
        </w:rPr>
      </w:pPr>
      <w:r>
        <w:rPr>
          <w:rFonts w:ascii="Arial" w:hAnsi="Arial" w:cs="Arial"/>
          <w:b/>
        </w:rPr>
        <w:t>Ot</w:t>
      </w:r>
      <w:r>
        <w:rPr>
          <w:rFonts w:ascii="Arial" w:hAnsi="Arial" w:cs="Arial"/>
          <w:b/>
        </w:rPr>
        <w:t>ros Exámenes</w:t>
      </w:r>
    </w:p>
    <w:p w:rsidR="00000000" w:rsidRDefault="00BC67ED">
      <w:pPr>
        <w:tabs>
          <w:tab w:val="num" w:pos="720"/>
        </w:tabs>
        <w:spacing w:before="100" w:beforeAutospacing="1" w:after="100" w:afterAutospacing="1" w:line="480" w:lineRule="auto"/>
        <w:ind w:left="708"/>
        <w:jc w:val="both"/>
        <w:rPr>
          <w:rFonts w:ascii="Arial" w:hAnsi="Arial" w:cs="Arial"/>
        </w:rPr>
      </w:pPr>
      <w:r>
        <w:rPr>
          <w:rFonts w:ascii="Arial" w:hAnsi="Arial" w:cs="Arial"/>
          <w:b/>
        </w:rPr>
        <w:t>Manometría Esofágica.-</w:t>
      </w:r>
      <w:r>
        <w:rPr>
          <w:rFonts w:ascii="Arial" w:hAnsi="Arial" w:cs="Arial"/>
        </w:rPr>
        <w:t xml:space="preserve">   Permite la medición de la función motora del esófago, es indispensable en el diagnóstico de problemas motores del esófago, como son la acalasia cricofarìngea, trastornos neuromusculares de la deglución, espasmo esofági</w:t>
      </w:r>
      <w:r>
        <w:rPr>
          <w:rFonts w:ascii="Arial" w:hAnsi="Arial" w:cs="Arial"/>
        </w:rPr>
        <w:t>co difuso, acalasia gastroesofágica, esclerodermia, dermatomiositis.</w:t>
      </w:r>
    </w:p>
    <w:p w:rsidR="00000000" w:rsidRDefault="00BC67ED">
      <w:pPr>
        <w:tabs>
          <w:tab w:val="num" w:pos="720"/>
        </w:tabs>
        <w:spacing w:before="100" w:beforeAutospacing="1" w:after="100" w:afterAutospacing="1" w:line="480" w:lineRule="auto"/>
        <w:ind w:left="708"/>
        <w:jc w:val="both"/>
        <w:rPr>
          <w:rFonts w:ascii="Arial" w:hAnsi="Arial" w:cs="Arial"/>
        </w:rPr>
      </w:pPr>
      <w:r>
        <w:rPr>
          <w:rFonts w:ascii="Arial" w:hAnsi="Arial" w:cs="Arial"/>
          <w:b/>
        </w:rPr>
        <w:t>Phmetría.-</w:t>
      </w:r>
      <w:r>
        <w:rPr>
          <w:rFonts w:ascii="Arial" w:hAnsi="Arial" w:cs="Arial"/>
        </w:rPr>
        <w:t xml:space="preserve"> que permite medir el pH. De los últimos 5 cm. del esófago, para el diagnóstico de la enfermedad del reflujo </w:t>
      </w:r>
    </w:p>
    <w:p w:rsidR="00000000" w:rsidRDefault="00BC67ED">
      <w:pPr>
        <w:tabs>
          <w:tab w:val="num" w:pos="720"/>
        </w:tabs>
        <w:spacing w:before="100" w:beforeAutospacing="1" w:after="100" w:afterAutospacing="1" w:line="480" w:lineRule="auto"/>
        <w:ind w:left="708"/>
        <w:jc w:val="both"/>
        <w:rPr>
          <w:rFonts w:ascii="Arial" w:hAnsi="Arial" w:cs="Arial"/>
        </w:rPr>
      </w:pPr>
      <w:r>
        <w:rPr>
          <w:rFonts w:ascii="Arial" w:hAnsi="Arial" w:cs="Arial"/>
          <w:b/>
        </w:rPr>
        <w:t>Gastroesofágico.-</w:t>
      </w:r>
      <w:r>
        <w:rPr>
          <w:rFonts w:ascii="Arial" w:hAnsi="Arial" w:cs="Arial"/>
        </w:rPr>
        <w:t xml:space="preserve"> Este método es muy sensible para la presencia de </w:t>
      </w:r>
      <w:r>
        <w:rPr>
          <w:rFonts w:ascii="Arial" w:hAnsi="Arial" w:cs="Arial"/>
        </w:rPr>
        <w:t>ácido, pepsina, sales biliares, con capacidad de producir daño en la mucosa del esófago; se utiliza cuando se quiere conocer si hay una acidez manifestada, en la enfermedad de reflujo gastroesofágico.</w:t>
      </w: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bCs/>
          <w:u w:val="single"/>
        </w:rPr>
        <w:lastRenderedPageBreak/>
        <w:t>¿Qué es el Cáncer Esofágico?</w:t>
      </w:r>
      <w:r>
        <w:rPr>
          <w:rStyle w:val="Refdenotaalpie"/>
          <w:rFonts w:ascii="Arial" w:hAnsi="Arial" w:cs="Arial"/>
          <w:b/>
          <w:bCs/>
          <w:u w:val="single"/>
        </w:rPr>
        <w:footnoteReference w:id="19"/>
      </w:r>
    </w:p>
    <w:p w:rsidR="00000000" w:rsidRDefault="00BC67ED">
      <w:pPr>
        <w:pStyle w:val="NormalWeb"/>
        <w:spacing w:line="480" w:lineRule="auto"/>
        <w:ind w:left="708"/>
        <w:jc w:val="both"/>
        <w:rPr>
          <w:rFonts w:ascii="Arial" w:hAnsi="Arial" w:cs="Arial"/>
        </w:rPr>
      </w:pPr>
      <w:r>
        <w:rPr>
          <w:rFonts w:ascii="Arial" w:hAnsi="Arial" w:cs="Arial"/>
        </w:rPr>
        <w:t>El cáncer esofágico es el</w:t>
      </w:r>
      <w:r>
        <w:rPr>
          <w:rFonts w:ascii="Arial" w:hAnsi="Arial" w:cs="Arial"/>
        </w:rPr>
        <w:t xml:space="preserve"> cáncer que se desarrolla en el esófago, el tubo muscular que conecta la garganta al estómago. El esófago está situado exactamente detrás de la tráquea, su longitud aproximada es de 10 a 13 pulgadas y permite la entrada de los alimentos en el estómago para</w:t>
      </w:r>
      <w:r>
        <w:rPr>
          <w:rFonts w:ascii="Arial" w:hAnsi="Arial" w:cs="Arial"/>
        </w:rPr>
        <w:t xml:space="preserve"> la digestión. La pared el esófago está formada de varias capas y los cánceres generalmente comienzan en la capa interna y crecen hacia fuera.</w:t>
      </w:r>
    </w:p>
    <w:p w:rsidR="00000000" w:rsidRDefault="00BC67ED">
      <w:pPr>
        <w:pStyle w:val="NormalWeb"/>
        <w:spacing w:line="480" w:lineRule="auto"/>
        <w:ind w:left="708"/>
        <w:jc w:val="both"/>
        <w:rPr>
          <w:rFonts w:ascii="Arial" w:hAnsi="Arial" w:cs="Arial"/>
        </w:rPr>
      </w:pPr>
      <w:r>
        <w:rPr>
          <w:rFonts w:ascii="Arial" w:hAnsi="Arial" w:cs="Arial"/>
        </w:rPr>
        <w:t>Hay aproximadamente 12.300 casos nuevos de cáncer esofágico cada año. Aproximadamente 12.100 personas mueren de l</w:t>
      </w:r>
      <w:r>
        <w:rPr>
          <w:rFonts w:ascii="Arial" w:hAnsi="Arial" w:cs="Arial"/>
        </w:rPr>
        <w:t xml:space="preserve">a enfermedad cada año. Otros datos acerca del cáncer esofágico son: </w:t>
      </w:r>
    </w:p>
    <w:p w:rsidR="00000000" w:rsidRDefault="00BC67ED">
      <w:pPr>
        <w:pStyle w:val="NormalWeb"/>
        <w:spacing w:line="480" w:lineRule="auto"/>
        <w:ind w:left="708"/>
        <w:jc w:val="both"/>
        <w:rPr>
          <w:rFonts w:ascii="Arial" w:hAnsi="Arial" w:cs="Arial"/>
        </w:rPr>
      </w:pPr>
      <w:r>
        <w:rPr>
          <w:rFonts w:ascii="Arial" w:hAnsi="Arial" w:cs="Arial"/>
        </w:rPr>
        <w:t xml:space="preserve">El cáncer esofágico es tres veces más común entre los hombres que entre las mujeres. </w:t>
      </w:r>
    </w:p>
    <w:p w:rsidR="00000000" w:rsidRDefault="00BC67ED">
      <w:pPr>
        <w:pStyle w:val="NormalWeb"/>
        <w:spacing w:line="480" w:lineRule="auto"/>
        <w:ind w:left="708"/>
        <w:jc w:val="both"/>
        <w:rPr>
          <w:rFonts w:ascii="Arial" w:hAnsi="Arial" w:cs="Arial"/>
        </w:rPr>
      </w:pPr>
      <w:r>
        <w:rPr>
          <w:rFonts w:ascii="Arial" w:hAnsi="Arial" w:cs="Arial"/>
        </w:rPr>
        <w:t xml:space="preserve">El cáncer esofágico es tres veces más común entre los afroamericanos que entre los caucásicos. </w:t>
      </w:r>
    </w:p>
    <w:p w:rsidR="00000000" w:rsidRDefault="00BC67ED">
      <w:pPr>
        <w:pStyle w:val="NormalWeb"/>
        <w:spacing w:line="480" w:lineRule="auto"/>
        <w:ind w:left="708"/>
        <w:jc w:val="both"/>
        <w:rPr>
          <w:rFonts w:ascii="Arial" w:hAnsi="Arial" w:cs="Arial"/>
        </w:rPr>
      </w:pPr>
      <w:r>
        <w:rPr>
          <w:rFonts w:ascii="Arial" w:hAnsi="Arial" w:cs="Arial"/>
        </w:rPr>
        <w:lastRenderedPageBreak/>
        <w:t>Algun</w:t>
      </w:r>
      <w:r>
        <w:rPr>
          <w:rFonts w:ascii="Arial" w:hAnsi="Arial" w:cs="Arial"/>
        </w:rPr>
        <w:t xml:space="preserve">os países como Irán, la región norte de China, India y el sur de África tienen índices que son de 10 a 100 veces mayores que los de Estados Unidos. </w:t>
      </w:r>
    </w:p>
    <w:p w:rsidR="00000000" w:rsidRDefault="00BC67ED">
      <w:pPr>
        <w:tabs>
          <w:tab w:val="num" w:pos="720"/>
        </w:tabs>
        <w:spacing w:line="480" w:lineRule="auto"/>
        <w:jc w:val="both"/>
        <w:rPr>
          <w:rFonts w:ascii="Arial" w:hAnsi="Arial" w:cs="Arial"/>
          <w:sz w:val="22"/>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Tipos diferentes de Cáncer Esofágico</w:t>
      </w:r>
      <w:r>
        <w:rPr>
          <w:rStyle w:val="Refdenotaalpie"/>
          <w:rFonts w:ascii="Arial" w:hAnsi="Arial" w:cs="Arial"/>
          <w:b/>
        </w:rPr>
        <w:footnoteReference w:id="20"/>
      </w:r>
    </w:p>
    <w:p w:rsidR="00000000" w:rsidRDefault="00BC67ED">
      <w:pPr>
        <w:pStyle w:val="NormalWeb"/>
        <w:tabs>
          <w:tab w:val="num" w:pos="720"/>
        </w:tabs>
        <w:spacing w:line="480" w:lineRule="auto"/>
        <w:ind w:left="708"/>
        <w:jc w:val="both"/>
        <w:rPr>
          <w:rFonts w:ascii="Arial" w:hAnsi="Arial" w:cs="Arial"/>
        </w:rPr>
      </w:pPr>
      <w:r>
        <w:rPr>
          <w:rFonts w:ascii="Arial" w:hAnsi="Arial" w:cs="Arial"/>
        </w:rPr>
        <w:t xml:space="preserve">Hay dos tipos principales de cáncer esofágico. </w:t>
      </w:r>
      <w:r>
        <w:rPr>
          <w:rFonts w:ascii="Arial" w:hAnsi="Arial" w:cs="Arial"/>
          <w:b/>
        </w:rPr>
        <w:t>El carcinoma</w:t>
      </w:r>
      <w:r>
        <w:rPr>
          <w:rFonts w:ascii="Arial" w:hAnsi="Arial" w:cs="Arial"/>
        </w:rPr>
        <w:t xml:space="preserve"> de célul</w:t>
      </w:r>
      <w:r>
        <w:rPr>
          <w:rFonts w:ascii="Arial" w:hAnsi="Arial" w:cs="Arial"/>
        </w:rPr>
        <w:t>as escamosas, el cual es responsable de aproximadamente la mitad de los cánceres esofágicos, crece en las células que forman la capa superior del revestimiento del esófago, conocidas como células escamosas. Este tipo de cáncer puede crecer en cualquier lug</w:t>
      </w:r>
      <w:r>
        <w:rPr>
          <w:rFonts w:ascii="Arial" w:hAnsi="Arial" w:cs="Arial"/>
        </w:rPr>
        <w:t>ar a lo largo del esófago.</w:t>
      </w:r>
    </w:p>
    <w:p w:rsidR="00000000" w:rsidRDefault="00BC67ED">
      <w:pPr>
        <w:pStyle w:val="NormalWeb"/>
        <w:tabs>
          <w:tab w:val="num" w:pos="720"/>
        </w:tabs>
        <w:spacing w:before="0" w:beforeAutospacing="0" w:after="0" w:afterAutospacing="0" w:line="480" w:lineRule="auto"/>
        <w:ind w:left="708"/>
        <w:jc w:val="both"/>
        <w:rPr>
          <w:rFonts w:ascii="Arial" w:hAnsi="Arial" w:cs="Arial"/>
        </w:rPr>
      </w:pPr>
      <w:r>
        <w:rPr>
          <w:rFonts w:ascii="Arial" w:hAnsi="Arial" w:cs="Arial"/>
        </w:rPr>
        <w:t xml:space="preserve">El otro tipo de cáncer esofágico, conocido como </w:t>
      </w:r>
      <w:r>
        <w:rPr>
          <w:rFonts w:ascii="Arial" w:hAnsi="Arial" w:cs="Arial"/>
          <w:b/>
        </w:rPr>
        <w:t>adenocarcinoma</w:t>
      </w:r>
      <w:r>
        <w:rPr>
          <w:rFonts w:ascii="Arial" w:hAnsi="Arial" w:cs="Arial"/>
        </w:rPr>
        <w:t>, se desarrolla en el tejido glandular de la parte inferior del esófago, cerca de la abertura del estómago.</w:t>
      </w:r>
    </w:p>
    <w:p w:rsidR="00000000" w:rsidRDefault="00BC67ED">
      <w:pPr>
        <w:pStyle w:val="NormalWeb"/>
        <w:tabs>
          <w:tab w:val="num" w:pos="720"/>
        </w:tabs>
        <w:spacing w:before="0" w:beforeAutospacing="0" w:after="0" w:afterAutospacing="0" w:line="480" w:lineRule="auto"/>
        <w:ind w:left="708"/>
        <w:jc w:val="both"/>
        <w:rPr>
          <w:rFonts w:ascii="Arial" w:hAnsi="Arial" w:cs="Arial"/>
        </w:rPr>
      </w:pPr>
      <w:r>
        <w:rPr>
          <w:rFonts w:ascii="Arial" w:hAnsi="Arial" w:cs="Arial"/>
        </w:rPr>
        <w:t>El tratamiento de ambos tipos de cáncer de esófago es simil</w:t>
      </w:r>
      <w:r>
        <w:rPr>
          <w:rFonts w:ascii="Arial" w:hAnsi="Arial" w:cs="Arial"/>
        </w:rPr>
        <w:t>ar.</w:t>
      </w:r>
    </w:p>
    <w:p w:rsidR="00000000" w:rsidRDefault="00BC67ED">
      <w:pPr>
        <w:pStyle w:val="NormalWeb"/>
        <w:tabs>
          <w:tab w:val="num" w:pos="720"/>
        </w:tabs>
        <w:spacing w:before="0" w:beforeAutospacing="0" w:after="0" w:afterAutospacing="0" w:line="480" w:lineRule="auto"/>
        <w:ind w:left="708"/>
        <w:jc w:val="both"/>
        <w:rPr>
          <w:rFonts w:ascii="Arial" w:hAnsi="Arial"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bCs/>
          <w:szCs w:val="27"/>
          <w:u w:val="single"/>
        </w:rPr>
        <w:t>Causas que Produce el Cáncer Esofágico</w:t>
      </w:r>
      <w:r>
        <w:rPr>
          <w:rStyle w:val="Refdenotaalpie"/>
          <w:rFonts w:ascii="Arial" w:hAnsi="Arial" w:cs="Arial"/>
          <w:b/>
          <w:bCs/>
          <w:szCs w:val="27"/>
          <w:u w:val="single"/>
        </w:rPr>
        <w:footnoteReference w:id="21"/>
      </w:r>
    </w:p>
    <w:p w:rsidR="00000000" w:rsidRDefault="00BC67ED">
      <w:pPr>
        <w:pStyle w:val="NormalWeb"/>
        <w:tabs>
          <w:tab w:val="num" w:pos="720"/>
        </w:tabs>
        <w:spacing w:line="480" w:lineRule="auto"/>
        <w:ind w:left="708"/>
        <w:jc w:val="both"/>
        <w:rPr>
          <w:rFonts w:ascii="Arial" w:hAnsi="Arial" w:cs="Arial"/>
        </w:rPr>
      </w:pPr>
      <w:r>
        <w:rPr>
          <w:rFonts w:ascii="Arial" w:hAnsi="Arial" w:cs="Arial"/>
        </w:rPr>
        <w:lastRenderedPageBreak/>
        <w:t>Nadie conoce exactamente las causas del cáncer esofágico. En la parte superior del esófago se encuentra un músculo, llamado esfínter, que se relaja para permitir el paso de los alimentos o líquidos a través de é</w:t>
      </w:r>
      <w:r>
        <w:rPr>
          <w:rFonts w:ascii="Arial" w:hAnsi="Arial" w:cs="Arial"/>
        </w:rPr>
        <w:t>l. La parte inferior del esófago está conectada al estómago. Otro músculo está situado en esta conexión que se abre para permitir que los alimentos entren en el estómago. Este músculo también evita que los alimentos y jugos del estómago regresen al esófago</w:t>
      </w:r>
      <w:r>
        <w:rPr>
          <w:rFonts w:ascii="Arial" w:hAnsi="Arial" w:cs="Arial"/>
        </w:rPr>
        <w:t>. Cuando estos jugos regresan ocurre el reflujo, comúnmente conocido como acidez.</w:t>
      </w:r>
    </w:p>
    <w:p w:rsidR="00000000" w:rsidRDefault="00BC67ED">
      <w:pPr>
        <w:pStyle w:val="NormalWeb"/>
        <w:tabs>
          <w:tab w:val="num" w:pos="720"/>
        </w:tabs>
        <w:spacing w:before="0" w:beforeAutospacing="0" w:after="0" w:afterAutospacing="0" w:line="480" w:lineRule="auto"/>
        <w:ind w:left="708"/>
        <w:jc w:val="both"/>
        <w:rPr>
          <w:rFonts w:ascii="Arial" w:hAnsi="Arial" w:cs="Arial"/>
        </w:rPr>
      </w:pPr>
      <w:r>
        <w:rPr>
          <w:rFonts w:ascii="Arial" w:hAnsi="Arial" w:cs="Arial"/>
        </w:rPr>
        <w:t>El reflujo a largo plazo puede cambiar las células en el extremo inferior del esófago. Esta condición se conoce como esófago de Barrett.</w:t>
      </w:r>
    </w:p>
    <w:p w:rsidR="00000000" w:rsidRDefault="00BC67ED">
      <w:pPr>
        <w:pStyle w:val="NormalWeb"/>
        <w:tabs>
          <w:tab w:val="num" w:pos="720"/>
        </w:tabs>
        <w:spacing w:before="0" w:beforeAutospacing="0" w:after="0" w:afterAutospacing="0" w:line="480" w:lineRule="auto"/>
        <w:ind w:left="708"/>
        <w:jc w:val="both"/>
        <w:rPr>
          <w:rFonts w:ascii="Arial" w:hAnsi="Arial" w:cs="Arial"/>
        </w:rPr>
      </w:pPr>
    </w:p>
    <w:p w:rsidR="00000000" w:rsidRDefault="00BC67ED">
      <w:pPr>
        <w:pStyle w:val="NormalWeb"/>
        <w:tabs>
          <w:tab w:val="num" w:pos="720"/>
        </w:tabs>
        <w:spacing w:before="0" w:beforeAutospacing="0" w:after="0" w:afterAutospacing="0" w:line="480" w:lineRule="auto"/>
        <w:ind w:left="708"/>
        <w:jc w:val="both"/>
        <w:rPr>
          <w:rFonts w:ascii="Arial" w:hAnsi="Arial" w:cs="Arial"/>
        </w:rPr>
      </w:pPr>
      <w:r>
        <w:rPr>
          <w:rFonts w:ascii="Arial" w:hAnsi="Arial" w:cs="Arial"/>
        </w:rPr>
        <w:t>Si estas células no se tratan, se co</w:t>
      </w:r>
      <w:r>
        <w:rPr>
          <w:rFonts w:ascii="Arial" w:hAnsi="Arial" w:cs="Arial"/>
        </w:rPr>
        <w:t>rre un riesgo mucho más alto de que se conviertan en células cancerosas.</w:t>
      </w:r>
    </w:p>
    <w:p w:rsidR="00000000" w:rsidRDefault="00BC67ED">
      <w:pPr>
        <w:pStyle w:val="NormalWeb"/>
        <w:tabs>
          <w:tab w:val="num" w:pos="720"/>
        </w:tabs>
        <w:spacing w:before="0" w:beforeAutospacing="0" w:after="0" w:afterAutospacing="0" w:line="480" w:lineRule="auto"/>
        <w:jc w:val="both"/>
        <w:rPr>
          <w:rFonts w:ascii="Arial" w:hAnsi="Arial" w:cs="Arial"/>
          <w:sz w:val="22"/>
        </w:rPr>
      </w:pPr>
    </w:p>
    <w:p w:rsidR="00000000" w:rsidRDefault="00BC67ED">
      <w:pPr>
        <w:pStyle w:val="NormalWeb"/>
        <w:tabs>
          <w:tab w:val="num" w:pos="720"/>
        </w:tabs>
        <w:spacing w:before="0" w:beforeAutospacing="0" w:after="0" w:afterAutospacing="0" w:line="480" w:lineRule="auto"/>
        <w:jc w:val="both"/>
        <w:rPr>
          <w:rFonts w:ascii="Arial" w:hAnsi="Arial" w:cs="Arial"/>
          <w:sz w:val="22"/>
        </w:rPr>
      </w:pPr>
    </w:p>
    <w:p w:rsidR="00000000" w:rsidRDefault="00BC67ED">
      <w:pPr>
        <w:pStyle w:val="NormalWeb"/>
        <w:tabs>
          <w:tab w:val="num" w:pos="720"/>
        </w:tabs>
        <w:spacing w:before="0" w:beforeAutospacing="0" w:after="0" w:afterAutospacing="0" w:line="480" w:lineRule="auto"/>
        <w:jc w:val="both"/>
        <w:rPr>
          <w:rFonts w:ascii="Arial" w:hAnsi="Arial" w:cs="Arial"/>
          <w:sz w:val="22"/>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bCs/>
          <w:szCs w:val="27"/>
          <w:u w:val="single"/>
        </w:rPr>
        <w:t>Factores de Riesgo del Cáncer Esofágico</w:t>
      </w:r>
      <w:r>
        <w:rPr>
          <w:rStyle w:val="Refdenotaalpie"/>
          <w:rFonts w:ascii="Arial" w:hAnsi="Arial" w:cs="Arial"/>
          <w:b/>
          <w:bCs/>
          <w:szCs w:val="27"/>
          <w:u w:val="single"/>
        </w:rPr>
        <w:footnoteReference w:id="22"/>
      </w:r>
    </w:p>
    <w:p w:rsidR="00000000" w:rsidRDefault="00BC67ED">
      <w:pPr>
        <w:pStyle w:val="NormalWeb"/>
        <w:tabs>
          <w:tab w:val="num" w:pos="720"/>
        </w:tabs>
        <w:spacing w:line="480" w:lineRule="auto"/>
        <w:ind w:left="708"/>
        <w:jc w:val="both"/>
        <w:rPr>
          <w:rFonts w:ascii="Arial" w:hAnsi="Arial" w:cs="Arial"/>
        </w:rPr>
      </w:pPr>
      <w:r>
        <w:rPr>
          <w:rFonts w:ascii="Arial" w:hAnsi="Arial" w:cs="Arial"/>
        </w:rPr>
        <w:t xml:space="preserve">Los factores siguientes pueden hacer que un individuo corra un riesgo mayor de desarrollar cáncer de esófago: </w:t>
      </w:r>
    </w:p>
    <w:p w:rsidR="00000000" w:rsidRDefault="00BC67ED" w:rsidP="00BC67ED">
      <w:pPr>
        <w:numPr>
          <w:ilvl w:val="0"/>
          <w:numId w:val="16"/>
        </w:numPr>
        <w:tabs>
          <w:tab w:val="clear" w:pos="720"/>
          <w:tab w:val="num" w:pos="1428"/>
          <w:tab w:val="num" w:pos="2496"/>
        </w:tabs>
        <w:spacing w:before="100" w:beforeAutospacing="1" w:after="100" w:afterAutospacing="1" w:line="480" w:lineRule="auto"/>
        <w:ind w:left="708" w:firstLine="0"/>
        <w:jc w:val="both"/>
        <w:rPr>
          <w:rFonts w:ascii="Arial" w:hAnsi="Arial" w:cs="Arial"/>
        </w:rPr>
      </w:pPr>
      <w:r>
        <w:rPr>
          <w:rFonts w:ascii="Arial" w:hAnsi="Arial" w:cs="Arial"/>
          <w:b/>
          <w:bCs/>
        </w:rPr>
        <w:lastRenderedPageBreak/>
        <w:t>Edad</w:t>
      </w:r>
      <w:r>
        <w:rPr>
          <w:rFonts w:ascii="Arial" w:hAnsi="Arial" w:cs="Arial"/>
          <w:b/>
          <w:bCs/>
        </w:rPr>
        <w:br/>
      </w:r>
      <w:r>
        <w:rPr>
          <w:rFonts w:ascii="Arial" w:hAnsi="Arial" w:cs="Arial"/>
        </w:rPr>
        <w:t>El riesgo aumenta con l</w:t>
      </w:r>
      <w:r>
        <w:rPr>
          <w:rFonts w:ascii="Arial" w:hAnsi="Arial" w:cs="Arial"/>
        </w:rPr>
        <w:t xml:space="preserve">a edad; las personas mayores de 60 años corren un mayor riesgo de desarrollar cáncer esofágico. </w:t>
      </w:r>
    </w:p>
    <w:p w:rsidR="00000000" w:rsidRDefault="00BC67ED" w:rsidP="00BC67ED">
      <w:pPr>
        <w:numPr>
          <w:ilvl w:val="0"/>
          <w:numId w:val="16"/>
        </w:numPr>
        <w:tabs>
          <w:tab w:val="clear" w:pos="720"/>
          <w:tab w:val="num" w:pos="1428"/>
          <w:tab w:val="num" w:pos="2496"/>
        </w:tabs>
        <w:spacing w:before="100" w:beforeAutospacing="1" w:after="100" w:afterAutospacing="1" w:line="480" w:lineRule="auto"/>
        <w:ind w:left="708" w:firstLine="0"/>
        <w:jc w:val="both"/>
        <w:rPr>
          <w:rFonts w:ascii="Arial" w:hAnsi="Arial" w:cs="Arial"/>
        </w:rPr>
      </w:pPr>
      <w:r>
        <w:rPr>
          <w:rFonts w:ascii="Arial" w:hAnsi="Arial" w:cs="Arial"/>
          <w:b/>
          <w:bCs/>
        </w:rPr>
        <w:t>Género </w:t>
      </w:r>
      <w:r>
        <w:rPr>
          <w:rFonts w:ascii="Arial" w:hAnsi="Arial" w:cs="Arial"/>
          <w:b/>
          <w:bCs/>
        </w:rPr>
        <w:br/>
      </w:r>
      <w:r>
        <w:rPr>
          <w:rFonts w:ascii="Arial" w:hAnsi="Arial" w:cs="Arial"/>
        </w:rPr>
        <w:t xml:space="preserve">Los hombres corren un riesgo tres veces mayor de desarrollar cáncer esofágico que las mujeres. </w:t>
      </w: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Consumo de tabaco</w:t>
      </w:r>
    </w:p>
    <w:p w:rsidR="00000000" w:rsidRDefault="00BC67ED">
      <w:pPr>
        <w:pStyle w:val="Sangradetextonormal"/>
        <w:tabs>
          <w:tab w:val="num" w:pos="720"/>
        </w:tabs>
        <w:spacing w:line="480" w:lineRule="auto"/>
        <w:ind w:left="708"/>
        <w:jc w:val="both"/>
        <w:rPr>
          <w:rFonts w:ascii="Arial" w:hAnsi="Arial" w:cs="Arial"/>
        </w:rPr>
      </w:pPr>
      <w:r>
        <w:rPr>
          <w:rFonts w:ascii="Arial" w:hAnsi="Arial" w:cs="Arial"/>
        </w:rPr>
        <w:t>El consumo de tabaco en cualquier for</w:t>
      </w:r>
      <w:r>
        <w:rPr>
          <w:rFonts w:ascii="Arial" w:hAnsi="Arial" w:cs="Arial"/>
        </w:rPr>
        <w:t xml:space="preserve">ma aumenta el riesgo de cáncer esofágico. Cuanto más tiempo se consuma el tabaco, mayor es el riesgo, y las personas que han combinado el alcohol con el tabaco durante largo tiempo corren el mayor de los riesgos. </w:t>
      </w:r>
    </w:p>
    <w:p w:rsidR="00000000" w:rsidRDefault="00BC67ED">
      <w:pPr>
        <w:pStyle w:val="Sangradetextonormal"/>
        <w:tabs>
          <w:tab w:val="num" w:pos="720"/>
        </w:tabs>
        <w:spacing w:line="480" w:lineRule="auto"/>
        <w:ind w:left="708"/>
        <w:jc w:val="both"/>
        <w:rPr>
          <w:rFonts w:ascii="Arial" w:hAnsi="Arial" w:cs="Arial"/>
        </w:rPr>
      </w:pPr>
      <w:r>
        <w:rPr>
          <w:rFonts w:ascii="Arial" w:hAnsi="Arial" w:cs="Arial"/>
        </w:rPr>
        <w:t>Los científicos creen que cada una de esta</w:t>
      </w:r>
      <w:r>
        <w:rPr>
          <w:rFonts w:ascii="Arial" w:hAnsi="Arial" w:cs="Arial"/>
        </w:rPr>
        <w:t xml:space="preserve">s sustancias aumenta los efectos dañinos de la otra, y las personas que consumen ambas se vuelven más suceptibles a desarrollar la enfermedad. </w:t>
      </w:r>
    </w:p>
    <w:p w:rsidR="00000000" w:rsidRDefault="00BC67ED">
      <w:pPr>
        <w:pStyle w:val="Sangradetextonormal"/>
        <w:tabs>
          <w:tab w:val="num" w:pos="720"/>
        </w:tabs>
        <w:spacing w:line="480" w:lineRule="auto"/>
        <w:ind w:left="708"/>
        <w:jc w:val="both"/>
        <w:rPr>
          <w:rFonts w:ascii="Arial" w:hAnsi="Arial" w:cs="Arial"/>
        </w:rPr>
      </w:pP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Consumo de alcohol</w:t>
      </w:r>
    </w:p>
    <w:p w:rsidR="00000000" w:rsidRDefault="00BC67ED">
      <w:pPr>
        <w:pStyle w:val="Sangradetextonormal"/>
        <w:tabs>
          <w:tab w:val="num" w:pos="720"/>
        </w:tabs>
        <w:spacing w:after="0" w:line="480" w:lineRule="auto"/>
        <w:ind w:left="708"/>
        <w:jc w:val="both"/>
        <w:rPr>
          <w:rFonts w:ascii="Arial" w:hAnsi="Arial" w:cs="Arial"/>
        </w:rPr>
      </w:pPr>
      <w:r>
        <w:rPr>
          <w:rFonts w:ascii="Arial" w:hAnsi="Arial" w:cs="Arial"/>
        </w:rPr>
        <w:t>El consumo crónico y, o en grandes cantidades es otro riesgo importante de desarrollar cánce</w:t>
      </w:r>
      <w:r>
        <w:rPr>
          <w:rFonts w:ascii="Arial" w:hAnsi="Arial" w:cs="Arial"/>
        </w:rPr>
        <w:t xml:space="preserve">r esofágico. </w:t>
      </w: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Esófago de Barrett </w:t>
      </w:r>
    </w:p>
    <w:p w:rsidR="00000000" w:rsidRDefault="00BC67ED">
      <w:pPr>
        <w:pStyle w:val="Sangradetextonormal"/>
        <w:tabs>
          <w:tab w:val="num" w:pos="720"/>
        </w:tabs>
        <w:spacing w:after="0" w:line="480" w:lineRule="auto"/>
        <w:ind w:left="708"/>
        <w:jc w:val="both"/>
        <w:rPr>
          <w:rFonts w:ascii="Arial" w:hAnsi="Arial" w:cs="Arial"/>
        </w:rPr>
      </w:pPr>
      <w:r>
        <w:rPr>
          <w:rFonts w:ascii="Arial" w:hAnsi="Arial" w:cs="Arial"/>
        </w:rPr>
        <w:t xml:space="preserve">La irritación a largo plazo por reflujo, conocida comúnmente como acidez, cambia las células del extremo del esófago. Ésta es una </w:t>
      </w:r>
      <w:r>
        <w:rPr>
          <w:rFonts w:ascii="Arial" w:hAnsi="Arial" w:cs="Arial"/>
        </w:rPr>
        <w:lastRenderedPageBreak/>
        <w:t xml:space="preserve">condición precancerosa, que aumenta el riesgo de desarrollar adenocarcinoma del esófago. </w:t>
      </w: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Dieta </w:t>
      </w:r>
      <w:r>
        <w:rPr>
          <w:rFonts w:ascii="Arial" w:hAnsi="Arial" w:cs="Arial"/>
          <w:b/>
          <w:bCs/>
        </w:rPr>
        <w:br/>
      </w:r>
      <w:r>
        <w:rPr>
          <w:rFonts w:ascii="Arial" w:hAnsi="Arial" w:cs="Arial"/>
        </w:rPr>
        <w:t xml:space="preserve">Las dietas bajas en frutas y vegetales, y ciertas vitaminas y minerales, pueden aumentar los riesgos de esta enfermedad. </w:t>
      </w:r>
    </w:p>
    <w:p w:rsidR="00000000" w:rsidRDefault="00BC67ED">
      <w:pPr>
        <w:spacing w:line="480" w:lineRule="auto"/>
        <w:ind w:left="708"/>
        <w:jc w:val="both"/>
        <w:rPr>
          <w:rFonts w:ascii="Arial" w:hAnsi="Arial" w:cs="Arial"/>
        </w:rPr>
      </w:pP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Otros irritantes</w:t>
      </w:r>
    </w:p>
    <w:p w:rsidR="00000000" w:rsidRDefault="00BC67ED">
      <w:pPr>
        <w:pStyle w:val="Sangradetextonormal"/>
        <w:tabs>
          <w:tab w:val="num" w:pos="720"/>
        </w:tabs>
        <w:spacing w:after="0" w:line="480" w:lineRule="auto"/>
        <w:ind w:left="708"/>
        <w:jc w:val="both"/>
        <w:rPr>
          <w:rFonts w:ascii="Arial" w:hAnsi="Arial" w:cs="Arial"/>
        </w:rPr>
      </w:pPr>
      <w:r>
        <w:rPr>
          <w:rFonts w:ascii="Arial" w:hAnsi="Arial" w:cs="Arial"/>
        </w:rPr>
        <w:t>La ingestión de irritantes caústicos como la lejía y otras sustancias pueden causar quemaduras y destruir las</w:t>
      </w:r>
      <w:r>
        <w:rPr>
          <w:rFonts w:ascii="Arial" w:hAnsi="Arial" w:cs="Arial"/>
        </w:rPr>
        <w:t xml:space="preserve"> células del esófago. Las cicatrices y el daño al esófago pueden hacer que la persona corra un mayor riesgo de desarrollar cáncer.</w:t>
      </w:r>
    </w:p>
    <w:p w:rsidR="00000000" w:rsidRDefault="00BC67ED">
      <w:pPr>
        <w:pStyle w:val="Sangradetextonormal"/>
        <w:tabs>
          <w:tab w:val="num" w:pos="720"/>
        </w:tabs>
        <w:spacing w:after="0" w:line="480" w:lineRule="auto"/>
        <w:ind w:left="708"/>
        <w:jc w:val="both"/>
        <w:rPr>
          <w:rFonts w:ascii="Arial" w:hAnsi="Arial" w:cs="Arial"/>
        </w:rPr>
      </w:pPr>
      <w:r>
        <w:rPr>
          <w:rFonts w:ascii="Arial" w:hAnsi="Arial" w:cs="Arial"/>
        </w:rPr>
        <w:t xml:space="preserve"> </w:t>
      </w: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rsidP="00BC67ED">
      <w:pPr>
        <w:numPr>
          <w:ilvl w:val="0"/>
          <w:numId w:val="16"/>
        </w:numPr>
        <w:tabs>
          <w:tab w:val="clear" w:pos="720"/>
          <w:tab w:val="num" w:pos="1428"/>
          <w:tab w:val="num" w:pos="2496"/>
        </w:tabs>
        <w:spacing w:line="480" w:lineRule="auto"/>
        <w:ind w:left="708" w:firstLine="0"/>
        <w:jc w:val="both"/>
        <w:rPr>
          <w:rFonts w:ascii="Arial" w:hAnsi="Arial" w:cs="Arial"/>
        </w:rPr>
      </w:pPr>
      <w:r>
        <w:rPr>
          <w:rFonts w:ascii="Arial" w:hAnsi="Arial" w:cs="Arial"/>
          <w:b/>
          <w:bCs/>
        </w:rPr>
        <w:t>Historia médica</w:t>
      </w: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pPr>
        <w:pStyle w:val="Sangradetextonormal"/>
        <w:tabs>
          <w:tab w:val="num" w:pos="720"/>
        </w:tabs>
        <w:spacing w:after="0" w:line="480" w:lineRule="auto"/>
        <w:ind w:left="708"/>
        <w:jc w:val="both"/>
        <w:rPr>
          <w:rFonts w:ascii="Arial" w:hAnsi="Arial" w:cs="Arial"/>
        </w:rPr>
      </w:pPr>
      <w:r>
        <w:rPr>
          <w:rFonts w:ascii="Arial" w:hAnsi="Arial" w:cs="Arial"/>
        </w:rPr>
        <w:t>Ciertas enfermedades como la acalasia, enfermedad en la cual el fondo del esófago no se abre para descar</w:t>
      </w:r>
      <w:r>
        <w:rPr>
          <w:rFonts w:ascii="Arial" w:hAnsi="Arial" w:cs="Arial"/>
        </w:rPr>
        <w:t xml:space="preserve">gar los alimentos en el estómago, y la tilosis, una enfermedad poco frecuente y hereditaria, aumentan el riesgo de cáncer esofágico. Además, cualquiera que haya presentado cánceres de la cabeza o del cuello tiene más </w:t>
      </w:r>
      <w:r>
        <w:rPr>
          <w:rFonts w:ascii="Arial" w:hAnsi="Arial" w:cs="Arial"/>
        </w:rPr>
        <w:lastRenderedPageBreak/>
        <w:t>probabilidades de desarrollar un segund</w:t>
      </w:r>
      <w:r>
        <w:rPr>
          <w:rFonts w:ascii="Arial" w:hAnsi="Arial" w:cs="Arial"/>
        </w:rPr>
        <w:t xml:space="preserve">o cáncer en esta área, incluyendo el cáncer esofágico. </w:t>
      </w:r>
    </w:p>
    <w:p w:rsidR="00000000" w:rsidRDefault="00BC67ED">
      <w:pPr>
        <w:pStyle w:val="Sangradetextonormal"/>
        <w:tabs>
          <w:tab w:val="num" w:pos="720"/>
        </w:tabs>
        <w:spacing w:after="0" w:line="480" w:lineRule="auto"/>
        <w:ind w:left="708"/>
        <w:jc w:val="both"/>
        <w:rPr>
          <w:rFonts w:ascii="Arial" w:hAnsi="Arial"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Adenocarcinoma del Esófago</w:t>
      </w:r>
      <w:r>
        <w:rPr>
          <w:rStyle w:val="Refdenotaalpie"/>
          <w:rFonts w:ascii="Arial" w:hAnsi="Arial" w:cs="Arial"/>
          <w:b/>
        </w:rPr>
        <w:footnoteReference w:id="23"/>
      </w:r>
    </w:p>
    <w:p w:rsidR="00000000" w:rsidRDefault="00BC67ED">
      <w:pPr>
        <w:pStyle w:val="Textoindependiente3"/>
        <w:tabs>
          <w:tab w:val="num" w:pos="720"/>
        </w:tabs>
        <w:spacing w:line="480" w:lineRule="auto"/>
        <w:ind w:left="708"/>
        <w:rPr>
          <w:rFonts w:cs="Arial"/>
        </w:rPr>
      </w:pPr>
      <w:r>
        <w:rPr>
          <w:rFonts w:cs="Arial"/>
        </w:rPr>
        <w:t xml:space="preserve">La prevalencía del adenocarcinoma de esófago ha experimentado un incremento exagerado en los últimos 20 años, alcanzando proporciones casi epidémicas.  Como ejemplo de lo </w:t>
      </w:r>
      <w:r>
        <w:rPr>
          <w:rFonts w:cs="Arial"/>
        </w:rPr>
        <w:t>antes mencionado citaremos que el 3,3% de los 1.312 carcinomas de esófago diagnosticados en la Clínica Mayo entre 1.946 y 1.963 eran adenocarcinomas, esta cifra se habría elevado en un 60% según estudio realizado en 1.999 en la misma institución.</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Se ha es</w:t>
      </w:r>
      <w:r>
        <w:rPr>
          <w:rFonts w:cs="Arial"/>
        </w:rPr>
        <w:t>timado que la incidencia se ha incrementado en 350% desde la década de los 70. Si esta tendencia continúa, este tipo de neoplasia se constituirá en una de las más mortales dada la agresividad de su desarrollo.</w:t>
      </w:r>
    </w:p>
    <w:p w:rsidR="00000000" w:rsidRDefault="00BC67ED">
      <w:pPr>
        <w:pStyle w:val="Textoindependiente3"/>
        <w:tabs>
          <w:tab w:val="num" w:pos="720"/>
        </w:tabs>
        <w:spacing w:line="480" w:lineRule="auto"/>
        <w:ind w:left="708"/>
        <w:rPr>
          <w:rFonts w:cs="Arial"/>
        </w:rPr>
      </w:pPr>
    </w:p>
    <w:p w:rsidR="00000000" w:rsidRDefault="00BC67ED">
      <w:pPr>
        <w:pStyle w:val="Textoindependiente3"/>
        <w:tabs>
          <w:tab w:val="num" w:pos="720"/>
        </w:tabs>
        <w:spacing w:line="480" w:lineRule="auto"/>
        <w:ind w:left="708"/>
        <w:rPr>
          <w:rFonts w:cs="Arial"/>
        </w:rPr>
      </w:pPr>
      <w:r>
        <w:rPr>
          <w:rFonts w:cs="Arial"/>
        </w:rPr>
        <w:t>La mayor parte de los adenocarcinomas se desa</w:t>
      </w:r>
      <w:r>
        <w:rPr>
          <w:rFonts w:cs="Arial"/>
        </w:rPr>
        <w:t xml:space="preserve">rrollan en relación a la enfermedad por reflujo gastroesofágico y en particular sobre el esófago de Barrett.  Este último se forma por la sustitución del epitelio </w:t>
      </w:r>
      <w:r>
        <w:rPr>
          <w:rFonts w:cs="Arial"/>
        </w:rPr>
        <w:lastRenderedPageBreak/>
        <w:t>escamoso esofágico por epitelio cilíndrico (metaplasia que puede ser cardial, fúndica o intes</w:t>
      </w:r>
      <w:r>
        <w:rPr>
          <w:rFonts w:cs="Arial"/>
        </w:rPr>
        <w:t>tinal)</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t>Tabaco</w:t>
      </w:r>
      <w:r>
        <w:rPr>
          <w:rFonts w:ascii="Arial" w:hAnsi="Arial" w:cs="Arial"/>
          <w:b/>
        </w:rPr>
        <w:t>:</w:t>
      </w:r>
      <w:r>
        <w:rPr>
          <w:rFonts w:ascii="Arial" w:hAnsi="Arial" w:cs="Arial"/>
        </w:rPr>
        <w:t xml:space="preserve"> El consumo de tabaco es más elevado en los pacientes con esófago de Barrett probablemente porque exacerba el reflujo gastroesofágico al inducir la relajación del esfínter esofágico inferior.</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t>Alcohol</w:t>
      </w:r>
      <w:r>
        <w:rPr>
          <w:rFonts w:ascii="Arial" w:hAnsi="Arial" w:cs="Arial"/>
          <w:b/>
        </w:rPr>
        <w:t>:</w:t>
      </w:r>
      <w:r>
        <w:rPr>
          <w:rFonts w:ascii="Arial" w:hAnsi="Arial" w:cs="Arial"/>
        </w:rPr>
        <w:t xml:space="preserve"> Su asociación al consumo de alcohol  co</w:t>
      </w:r>
      <w:r>
        <w:rPr>
          <w:rFonts w:ascii="Arial" w:hAnsi="Arial" w:cs="Arial"/>
        </w:rPr>
        <w:t>n el desarrollo del adenocarcinoma es discutible, incluso Garidou y Cols. Observaron un efecto protector del consumo de vino.</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t>Obesidad y Factores Dietéticos</w:t>
      </w:r>
      <w:r>
        <w:rPr>
          <w:rFonts w:ascii="Arial" w:hAnsi="Arial" w:cs="Arial"/>
          <w:b/>
        </w:rPr>
        <w:t>:</w:t>
      </w:r>
      <w:r>
        <w:rPr>
          <w:rFonts w:ascii="Arial" w:hAnsi="Arial" w:cs="Arial"/>
        </w:rPr>
        <w:t xml:space="preserve"> La obesidad aumenta levemente el riesgo de esófago de Barrett y adenocarcinoma de esófago, parece</w:t>
      </w:r>
      <w:r>
        <w:rPr>
          <w:rFonts w:ascii="Arial" w:hAnsi="Arial" w:cs="Arial"/>
        </w:rPr>
        <w:t>ría estar en relación con mayor incidencia de reflujo gastroesofágico en pacientes obesos, adicionalmente una dieta rica en grasas también se asocia a un vaciamiento gástrico lento que propicia más episodios de reflujo, curiosamente se ha encontrado una re</w:t>
      </w:r>
      <w:r>
        <w:rPr>
          <w:rFonts w:ascii="Arial" w:hAnsi="Arial" w:cs="Arial"/>
        </w:rPr>
        <w:t>lación estadística entre el bajo peso y el carcinoma de células escamosas así como el peso elevado y el adenocarcinoma de esófago.</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lastRenderedPageBreak/>
        <w:t>Consumo de Fármacos</w:t>
      </w:r>
      <w:r>
        <w:rPr>
          <w:rFonts w:ascii="Arial" w:hAnsi="Arial" w:cs="Arial"/>
          <w:b/>
        </w:rPr>
        <w:t>:</w:t>
      </w:r>
      <w:r>
        <w:rPr>
          <w:rFonts w:ascii="Arial" w:hAnsi="Arial" w:cs="Arial"/>
        </w:rPr>
        <w:t xml:space="preserve"> Ciertos fármacos antihipertensivos inducen la relajación del esfínter esofágico inferior favoreciendo l</w:t>
      </w:r>
      <w:r>
        <w:rPr>
          <w:rFonts w:ascii="Arial" w:hAnsi="Arial" w:cs="Arial"/>
        </w:rPr>
        <w:t>os episodios de reflujo.</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t>Infección por Helicobacter Pylori</w:t>
      </w:r>
      <w:r>
        <w:rPr>
          <w:rFonts w:ascii="Arial" w:hAnsi="Arial" w:cs="Arial"/>
          <w:b/>
        </w:rPr>
        <w:t>:</w:t>
      </w:r>
      <w:r>
        <w:rPr>
          <w:rFonts w:ascii="Arial" w:hAnsi="Arial" w:cs="Arial"/>
        </w:rPr>
        <w:t xml:space="preserve"> Este agente infeccioso parece tener efecto protector sobre el desarrollo del adenocarcinoma de esófago.  La prevalencia de infección por H. Pylori es menor en los pacientes con esófago de Barrett</w:t>
      </w:r>
      <w:r>
        <w:rPr>
          <w:rFonts w:ascii="Arial" w:hAnsi="Arial" w:cs="Arial"/>
        </w:rPr>
        <w:t xml:space="preserve"> con displasia de alto grado y con adenocarcinoma.  La erradicación del H. Pylori favorece la exacerbación o la aparición del reflujo gastroesofágico, por lo que su efecto protector está probablemente relacionado con su papel en el reflujo gastroesofágico.</w:t>
      </w:r>
    </w:p>
    <w:p w:rsidR="00000000" w:rsidRDefault="00BC67ED">
      <w:pPr>
        <w:spacing w:line="480" w:lineRule="auto"/>
        <w:ind w:left="708"/>
        <w:jc w:val="both"/>
        <w:rPr>
          <w:rFonts w:ascii="Arial" w:hAnsi="Arial" w:cs="Arial"/>
        </w:rPr>
      </w:pPr>
    </w:p>
    <w:p w:rsidR="00000000" w:rsidRDefault="00BC67ED" w:rsidP="00BC67ED">
      <w:pPr>
        <w:numPr>
          <w:ilvl w:val="0"/>
          <w:numId w:val="13"/>
        </w:numPr>
        <w:tabs>
          <w:tab w:val="num" w:pos="1428"/>
        </w:tabs>
        <w:spacing w:line="480" w:lineRule="auto"/>
        <w:ind w:left="708" w:firstLine="0"/>
        <w:jc w:val="both"/>
        <w:rPr>
          <w:rFonts w:ascii="Arial" w:hAnsi="Arial" w:cs="Arial"/>
        </w:rPr>
      </w:pPr>
      <w:r>
        <w:rPr>
          <w:rFonts w:ascii="Arial" w:hAnsi="Arial" w:cs="Arial"/>
          <w:b/>
          <w:u w:val="single"/>
        </w:rPr>
        <w:t>Esófago de Barrett</w:t>
      </w:r>
      <w:r>
        <w:rPr>
          <w:rFonts w:ascii="Arial" w:hAnsi="Arial" w:cs="Arial"/>
          <w:b/>
        </w:rPr>
        <w:t>:</w:t>
      </w:r>
      <w:r>
        <w:rPr>
          <w:rFonts w:ascii="Arial" w:hAnsi="Arial" w:cs="Arial"/>
        </w:rPr>
        <w:t xml:space="preserve"> El riesgo de desarrollar adenocarcinoma en los pacientes con esófago de barrett es entre 30 y 60 veces superior a la población general,  es decir, similar al de la población con síntomas de reflujo gastroesofágicos severos, por lo tan</w:t>
      </w:r>
      <w:r>
        <w:rPr>
          <w:rFonts w:ascii="Arial" w:hAnsi="Arial" w:cs="Arial"/>
        </w:rPr>
        <w:t>to es probable que el marcador de riesgo sea la severidad del reflujo gastroesofágico y no la presencia de esófago de barret.</w:t>
      </w:r>
    </w:p>
    <w:p w:rsidR="00000000" w:rsidRDefault="00BC67ED">
      <w:pPr>
        <w:tabs>
          <w:tab w:val="num" w:pos="720"/>
        </w:tabs>
        <w:spacing w:line="480" w:lineRule="auto"/>
        <w:ind w:left="708"/>
        <w:jc w:val="both"/>
        <w:rPr>
          <w:rFonts w:ascii="Arial" w:hAnsi="Arial" w:cs="Arial"/>
        </w:rPr>
      </w:pPr>
    </w:p>
    <w:p w:rsidR="00000000" w:rsidRDefault="00BC67ED">
      <w:pPr>
        <w:tabs>
          <w:tab w:val="num" w:pos="720"/>
        </w:tabs>
        <w:spacing w:line="480" w:lineRule="auto"/>
        <w:ind w:left="708"/>
        <w:jc w:val="both"/>
        <w:rPr>
          <w:rFonts w:ascii="Arial" w:hAnsi="Arial" w:cs="Arial"/>
        </w:rPr>
      </w:pPr>
      <w:r>
        <w:rPr>
          <w:rFonts w:ascii="Arial" w:hAnsi="Arial" w:cs="Arial"/>
        </w:rPr>
        <w:t>De hecho, el esófago de barrett se desarrolla sobre las formas más severas de reflujo gastroesofágico.  Por otra parte algunos tr</w:t>
      </w:r>
      <w:r>
        <w:rPr>
          <w:rFonts w:ascii="Arial" w:hAnsi="Arial" w:cs="Arial"/>
        </w:rPr>
        <w:t xml:space="preserve">abajos </w:t>
      </w:r>
      <w:r>
        <w:rPr>
          <w:rFonts w:ascii="Arial" w:hAnsi="Arial" w:cs="Arial"/>
        </w:rPr>
        <w:lastRenderedPageBreak/>
        <w:t>cuestionan la eficacia costo-beneficio de la vigilancia endoscópica de los pacientes con esófago de barrett.</w:t>
      </w:r>
    </w:p>
    <w:p w:rsidR="00000000" w:rsidRDefault="00BC67ED">
      <w:pPr>
        <w:tabs>
          <w:tab w:val="num" w:pos="720"/>
        </w:tabs>
        <w:spacing w:line="480" w:lineRule="auto"/>
        <w:ind w:left="708"/>
        <w:jc w:val="both"/>
        <w:rPr>
          <w:rFonts w:ascii="Arial" w:hAnsi="Arial" w:cs="Arial"/>
        </w:rPr>
      </w:pPr>
      <w:r>
        <w:rPr>
          <w:rFonts w:ascii="Arial" w:hAnsi="Arial" w:cs="Arial"/>
        </w:rPr>
        <w:t>En un estudio realizado en Dinamarca se comprobó que el 98% de los adenocarcinomas del esófago se diagnosticaron en pacientes que no se sabí</w:t>
      </w:r>
      <w:r>
        <w:rPr>
          <w:rFonts w:ascii="Arial" w:hAnsi="Arial" w:cs="Arial"/>
        </w:rPr>
        <w:t>an portadores de barret, por lo tanto se concluye que los programas de seguimiento de esófago de barrett, si bien útiles en casos individuales, no conseguirán disminuir la mortalidad por adenocarcinoma del esófago en la población general.</w:t>
      </w:r>
    </w:p>
    <w:p w:rsidR="00000000" w:rsidRDefault="00BC67ED">
      <w:pPr>
        <w:tabs>
          <w:tab w:val="num" w:pos="720"/>
        </w:tabs>
        <w:spacing w:line="480" w:lineRule="auto"/>
        <w:ind w:left="708"/>
        <w:jc w:val="both"/>
        <w:rPr>
          <w:rFonts w:ascii="Arial" w:hAnsi="Arial"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Cáncer Epidermoi</w:t>
      </w:r>
      <w:r>
        <w:rPr>
          <w:rFonts w:ascii="Arial" w:hAnsi="Arial" w:cs="Arial"/>
          <w:b/>
        </w:rPr>
        <w:t>de del Esófago</w:t>
      </w:r>
      <w:r>
        <w:rPr>
          <w:rStyle w:val="Refdenotaalpie"/>
          <w:rFonts w:ascii="Arial" w:hAnsi="Arial" w:cs="Arial"/>
          <w:b/>
        </w:rPr>
        <w:footnoteReference w:id="24"/>
      </w:r>
      <w:r>
        <w:rPr>
          <w:rFonts w:ascii="Arial" w:hAnsi="Arial" w:cs="Arial"/>
          <w:b/>
        </w:rPr>
        <w:t>:</w:t>
      </w:r>
    </w:p>
    <w:p w:rsidR="00000000" w:rsidRDefault="00BC67ED">
      <w:pPr>
        <w:pStyle w:val="Textoindependiente3"/>
        <w:tabs>
          <w:tab w:val="num" w:pos="720"/>
        </w:tabs>
        <w:spacing w:line="480" w:lineRule="auto"/>
        <w:ind w:left="708"/>
        <w:rPr>
          <w:rFonts w:cs="Arial"/>
        </w:rPr>
      </w:pPr>
      <w:r>
        <w:rPr>
          <w:rFonts w:cs="Arial"/>
        </w:rPr>
        <w:t>Constituye aproximadamente el 2% de todos los tumores. Su agresividad y su forma de presentación clínica son similares al adenocarcinoma del esófago, sin embargo los factores etiológicos y las condiciones premalignas difieren.</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Factores Nu</w:t>
      </w:r>
      <w:r>
        <w:rPr>
          <w:rFonts w:ascii="Arial" w:hAnsi="Arial" w:cs="Arial"/>
          <w:b/>
          <w:u w:val="single"/>
        </w:rPr>
        <w:t>tricionales</w:t>
      </w:r>
      <w:r>
        <w:rPr>
          <w:rFonts w:ascii="Arial" w:hAnsi="Arial" w:cs="Arial"/>
          <w:b/>
        </w:rPr>
        <w:t>:</w:t>
      </w:r>
      <w:r>
        <w:rPr>
          <w:rFonts w:ascii="Arial" w:hAnsi="Arial" w:cs="Arial"/>
        </w:rPr>
        <w:t xml:space="preserve"> Una dieta deficiente en vitaminas y con alimentos ricos en nitrosaminas favorece el desarrollo de este tipo de cáncer.</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lastRenderedPageBreak/>
        <w:t>Alcohol</w:t>
      </w:r>
      <w:r>
        <w:rPr>
          <w:rFonts w:ascii="Arial" w:hAnsi="Arial" w:cs="Arial"/>
          <w:b/>
        </w:rPr>
        <w:t>:</w:t>
      </w:r>
      <w:r>
        <w:rPr>
          <w:rFonts w:ascii="Arial" w:hAnsi="Arial" w:cs="Arial"/>
        </w:rPr>
        <w:t xml:space="preserve"> La incidencia del carcinoma epidermoide del esófago se relaciona con el tipo de alcohol, de tal manera que los lic</w:t>
      </w:r>
      <w:r>
        <w:rPr>
          <w:rFonts w:ascii="Arial" w:hAnsi="Arial" w:cs="Arial"/>
        </w:rPr>
        <w:t>ores de alta graduación presentan un riesgo superior.</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Tabaco</w:t>
      </w:r>
      <w:r>
        <w:rPr>
          <w:rFonts w:ascii="Arial" w:hAnsi="Arial" w:cs="Arial"/>
          <w:b/>
        </w:rPr>
        <w:t>:</w:t>
      </w:r>
      <w:r>
        <w:rPr>
          <w:rFonts w:ascii="Arial" w:hAnsi="Arial" w:cs="Arial"/>
        </w:rPr>
        <w:t xml:space="preserve"> La presencia de nitrosaminas en el tabaco puede ser responsable de mayor incidencia de este tipo de cáncer entre los fumadores, riesgo que se ve incrementado con el consumo concomitante de alco</w:t>
      </w:r>
      <w:r>
        <w:rPr>
          <w:rFonts w:ascii="Arial" w:hAnsi="Arial" w:cs="Arial"/>
        </w:rPr>
        <w:t>hol.</w:t>
      </w: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Causticaciones</w:t>
      </w:r>
      <w:r>
        <w:rPr>
          <w:rFonts w:ascii="Arial" w:hAnsi="Arial" w:cs="Arial"/>
          <w:b/>
        </w:rPr>
        <w:t>:</w:t>
      </w:r>
      <w:r>
        <w:rPr>
          <w:rFonts w:ascii="Arial" w:hAnsi="Arial" w:cs="Arial"/>
        </w:rPr>
        <w:t xml:space="preserve"> El desarrollo del carcinoma escamócelular en estos pacientes acontece 4 0 5 décadas después del episodio de causticación y una o dos décadas antes que en la población general.</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Acalasia</w:t>
      </w:r>
      <w:r>
        <w:rPr>
          <w:rFonts w:ascii="Arial" w:hAnsi="Arial" w:cs="Arial"/>
          <w:b/>
        </w:rPr>
        <w:t>:</w:t>
      </w:r>
      <w:r>
        <w:rPr>
          <w:rFonts w:ascii="Arial" w:hAnsi="Arial" w:cs="Arial"/>
        </w:rPr>
        <w:t xml:space="preserve"> Los pacientes con este trastorno motor esofágico</w:t>
      </w:r>
      <w:r>
        <w:rPr>
          <w:rFonts w:ascii="Arial" w:hAnsi="Arial" w:cs="Arial"/>
        </w:rPr>
        <w:t xml:space="preserve"> primario tienen riesgo 16 veces mayor que la población general de desarrollar un carcinoma espinocelular, sobre todo aquellos pacientes con más de 20 años de evolución de la enfermedad.</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Síndrome de Plummer-Vinson</w:t>
      </w:r>
      <w:r>
        <w:rPr>
          <w:rFonts w:ascii="Arial" w:hAnsi="Arial" w:cs="Arial"/>
          <w:b/>
        </w:rPr>
        <w:t>:</w:t>
      </w:r>
      <w:r>
        <w:rPr>
          <w:rFonts w:ascii="Arial" w:hAnsi="Arial" w:cs="Arial"/>
        </w:rPr>
        <w:t xml:space="preserve"> Esta entidad se caracteriza por anemia c</w:t>
      </w:r>
      <w:r>
        <w:rPr>
          <w:rFonts w:ascii="Arial" w:hAnsi="Arial" w:cs="Arial"/>
        </w:rPr>
        <w:t>rónica, estomatitis angular y presencia de membranas en el cuerpo esofágico, se desconoce aún la causa que predispone a una mayor frecuencia del carcinoma epidermoide.</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lastRenderedPageBreak/>
        <w:t>Tilosis</w:t>
      </w:r>
      <w:r>
        <w:rPr>
          <w:rFonts w:ascii="Arial" w:hAnsi="Arial" w:cs="Arial"/>
          <w:b/>
        </w:rPr>
        <w:t>:</w:t>
      </w:r>
      <w:r>
        <w:rPr>
          <w:rFonts w:ascii="Arial" w:hAnsi="Arial" w:cs="Arial"/>
        </w:rPr>
        <w:t xml:space="preserve"> Los individuos que presentan esta patología tienen una incidencia del 95% de d</w:t>
      </w:r>
      <w:r>
        <w:rPr>
          <w:rFonts w:ascii="Arial" w:hAnsi="Arial" w:cs="Arial"/>
        </w:rPr>
        <w:t>esarrollar a los 65 años este tipo de cáncer.</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Antecedente de Cáncer de Cuello o Cabeza</w:t>
      </w:r>
      <w:r>
        <w:rPr>
          <w:rFonts w:ascii="Arial" w:hAnsi="Arial" w:cs="Arial"/>
          <w:b/>
        </w:rPr>
        <w:t>:</w:t>
      </w:r>
      <w:r>
        <w:rPr>
          <w:rFonts w:ascii="Arial" w:hAnsi="Arial" w:cs="Arial"/>
        </w:rPr>
        <w:t xml:space="preserve"> El riesgo de carcinoma epidermoide del esófago es alto si se ha padecido un cáncer de faringe.  A su vez, la presencia sincrónica de neoplasias respiratorias y esofági</w:t>
      </w:r>
      <w:r>
        <w:rPr>
          <w:rFonts w:ascii="Arial" w:hAnsi="Arial" w:cs="Arial"/>
        </w:rPr>
        <w:t xml:space="preserve">cas llega al 15%. </w:t>
      </w:r>
    </w:p>
    <w:p w:rsidR="00000000" w:rsidRDefault="00BC67ED">
      <w:pPr>
        <w:tabs>
          <w:tab w:val="num" w:pos="720"/>
        </w:tabs>
        <w:spacing w:line="480" w:lineRule="auto"/>
        <w:ind w:left="708"/>
        <w:jc w:val="both"/>
        <w:rPr>
          <w:rFonts w:ascii="Arial" w:hAnsi="Arial" w:cs="Arial"/>
        </w:rPr>
      </w:pPr>
    </w:p>
    <w:p w:rsidR="00000000" w:rsidRDefault="00BC67ED" w:rsidP="00BC67ED">
      <w:pPr>
        <w:numPr>
          <w:ilvl w:val="0"/>
          <w:numId w:val="15"/>
        </w:numPr>
        <w:tabs>
          <w:tab w:val="num" w:pos="1428"/>
        </w:tabs>
        <w:spacing w:line="480" w:lineRule="auto"/>
        <w:ind w:left="708" w:firstLine="0"/>
        <w:jc w:val="both"/>
        <w:rPr>
          <w:rFonts w:ascii="Arial" w:hAnsi="Arial" w:cs="Arial"/>
        </w:rPr>
      </w:pPr>
      <w:r>
        <w:rPr>
          <w:rFonts w:ascii="Arial" w:hAnsi="Arial" w:cs="Arial"/>
          <w:b/>
          <w:u w:val="single"/>
        </w:rPr>
        <w:t>Papiloma Virus Humano</w:t>
      </w:r>
      <w:r>
        <w:rPr>
          <w:rFonts w:ascii="Arial" w:hAnsi="Arial" w:cs="Arial"/>
          <w:b/>
        </w:rPr>
        <w:t>:</w:t>
      </w:r>
      <w:r>
        <w:rPr>
          <w:rFonts w:ascii="Arial" w:hAnsi="Arial" w:cs="Arial"/>
        </w:rPr>
        <w:t xml:space="preserve"> Los virus del papiloma humano son popularmente conocidos como los virus de las verrugas.  Estos son capaces de inducir neoplasias benignas y otras con diferentes grados de malignidad en diversas localizaciones del</w:t>
      </w:r>
      <w:r>
        <w:rPr>
          <w:rFonts w:ascii="Arial" w:hAnsi="Arial" w:cs="Arial"/>
        </w:rPr>
        <w:t xml:space="preserve"> cuerpo humano que incluyen región genitourinaria, recto, colon, faringe, esófago.</w:t>
      </w:r>
    </w:p>
    <w:p w:rsidR="00000000" w:rsidRDefault="00BC67ED">
      <w:pPr>
        <w:tabs>
          <w:tab w:val="num" w:pos="720"/>
        </w:tabs>
        <w:spacing w:line="480" w:lineRule="auto"/>
        <w:ind w:left="708"/>
        <w:jc w:val="both"/>
        <w:rPr>
          <w:rFonts w:ascii="Arial" w:hAnsi="Arial" w:cs="Arial"/>
        </w:rPr>
      </w:pPr>
    </w:p>
    <w:p w:rsidR="00000000" w:rsidRDefault="00BC67ED">
      <w:pPr>
        <w:tabs>
          <w:tab w:val="num" w:pos="720"/>
        </w:tabs>
        <w:spacing w:line="480" w:lineRule="auto"/>
        <w:ind w:left="708"/>
        <w:jc w:val="both"/>
        <w:rPr>
          <w:rFonts w:ascii="Arial" w:hAnsi="Arial" w:cs="Arial"/>
        </w:rPr>
      </w:pPr>
      <w:r>
        <w:rPr>
          <w:rFonts w:ascii="Arial" w:hAnsi="Arial" w:cs="Arial"/>
        </w:rPr>
        <w:t>El papiloma escamoso del esófago, tema de mucha controversia, ha sido bastante discutido, al respecto se han propuesto 2 etimologías del papiloma escamoso del esófago:</w:t>
      </w:r>
    </w:p>
    <w:p w:rsidR="00000000" w:rsidRDefault="00BC67ED" w:rsidP="00BC67ED">
      <w:pPr>
        <w:numPr>
          <w:ilvl w:val="0"/>
          <w:numId w:val="14"/>
        </w:numPr>
        <w:tabs>
          <w:tab w:val="clear" w:pos="360"/>
          <w:tab w:val="num" w:pos="1428"/>
          <w:tab w:val="num" w:pos="2877"/>
        </w:tabs>
        <w:spacing w:line="480" w:lineRule="auto"/>
        <w:ind w:left="708" w:firstLine="0"/>
        <w:jc w:val="both"/>
        <w:rPr>
          <w:rFonts w:ascii="Arial" w:hAnsi="Arial" w:cs="Arial"/>
        </w:rPr>
      </w:pPr>
      <w:r>
        <w:rPr>
          <w:rFonts w:ascii="Arial" w:hAnsi="Arial" w:cs="Arial"/>
        </w:rPr>
        <w:t>Infe</w:t>
      </w:r>
      <w:r>
        <w:rPr>
          <w:rFonts w:ascii="Arial" w:hAnsi="Arial" w:cs="Arial"/>
        </w:rPr>
        <w:t>cción del epitelio del esófago, a través del Papiloma Virus Humano.</w:t>
      </w:r>
    </w:p>
    <w:p w:rsidR="00000000" w:rsidRDefault="00BC67ED" w:rsidP="00BC67ED">
      <w:pPr>
        <w:numPr>
          <w:ilvl w:val="0"/>
          <w:numId w:val="14"/>
        </w:numPr>
        <w:tabs>
          <w:tab w:val="clear" w:pos="360"/>
          <w:tab w:val="num" w:pos="1428"/>
          <w:tab w:val="num" w:pos="2877"/>
        </w:tabs>
        <w:spacing w:line="480" w:lineRule="auto"/>
        <w:ind w:left="708" w:firstLine="0"/>
        <w:jc w:val="both"/>
        <w:rPr>
          <w:rFonts w:ascii="Arial" w:hAnsi="Arial" w:cs="Arial"/>
        </w:rPr>
      </w:pPr>
      <w:r>
        <w:rPr>
          <w:rFonts w:ascii="Arial" w:hAnsi="Arial" w:cs="Arial"/>
        </w:rPr>
        <w:t>La presencia de recurrencia crónica del reflujo gastroesofágico, irritando y lesionando la mucosa, seguida por una consecuente regeneración epitelial.</w:t>
      </w:r>
    </w:p>
    <w:p w:rsidR="00000000" w:rsidRDefault="00BC67ED">
      <w:pPr>
        <w:tabs>
          <w:tab w:val="num" w:pos="720"/>
        </w:tabs>
        <w:spacing w:line="480" w:lineRule="auto"/>
        <w:ind w:left="708"/>
        <w:jc w:val="both"/>
        <w:rPr>
          <w:rFonts w:ascii="Arial" w:hAnsi="Arial" w:cs="Arial"/>
        </w:rPr>
      </w:pPr>
      <w:r>
        <w:rPr>
          <w:rFonts w:ascii="Arial" w:hAnsi="Arial" w:cs="Arial"/>
        </w:rPr>
        <w:lastRenderedPageBreak/>
        <w:t>Se considera que la citología es un m</w:t>
      </w:r>
      <w:r>
        <w:rPr>
          <w:rFonts w:ascii="Arial" w:hAnsi="Arial" w:cs="Arial"/>
        </w:rPr>
        <w:t>étodo de diagnostico útil para la detección de lesiones por el virus del papiloma humano, en cualquier localización del cuerpo humano que este revestido por epitelio escamoso.</w:t>
      </w:r>
    </w:p>
    <w:p w:rsidR="00000000" w:rsidRDefault="00BC67ED">
      <w:pPr>
        <w:tabs>
          <w:tab w:val="num" w:pos="720"/>
        </w:tabs>
        <w:spacing w:line="480" w:lineRule="auto"/>
        <w:ind w:left="708"/>
        <w:jc w:val="both"/>
        <w:rPr>
          <w:rFonts w:ascii="Arial" w:hAnsi="Arial" w:cs="Arial"/>
        </w:rPr>
      </w:pPr>
    </w:p>
    <w:p w:rsidR="00000000" w:rsidRDefault="00BC67ED">
      <w:pPr>
        <w:tabs>
          <w:tab w:val="num" w:pos="720"/>
        </w:tabs>
        <w:spacing w:line="480" w:lineRule="auto"/>
        <w:ind w:left="708"/>
        <w:jc w:val="both"/>
        <w:rPr>
          <w:rFonts w:ascii="Arial" w:hAnsi="Arial" w:cs="Arial"/>
        </w:rPr>
      </w:pPr>
      <w:r>
        <w:rPr>
          <w:rFonts w:ascii="Arial" w:hAnsi="Arial" w:cs="Arial"/>
        </w:rPr>
        <w:t>El diagnostico citológico en las lesiones por el Papiloma Virus Humano al micro</w:t>
      </w:r>
      <w:r>
        <w:rPr>
          <w:rFonts w:ascii="Arial" w:hAnsi="Arial" w:cs="Arial"/>
        </w:rPr>
        <w:t>scopio óptico, esta dado por la presencia de koilocitos, que son células escamosas, con vacuola perinuclear bien definida y su núcleo hipercromático y retraído.</w:t>
      </w:r>
    </w:p>
    <w:p w:rsidR="00000000" w:rsidRDefault="00BC67ED">
      <w:pPr>
        <w:tabs>
          <w:tab w:val="num" w:pos="720"/>
        </w:tabs>
        <w:spacing w:line="360" w:lineRule="auto"/>
        <w:jc w:val="both"/>
        <w:rPr>
          <w:rFonts w:ascii="Arial" w:hAnsi="Arial" w:cs="Arial"/>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t>Estadios del Cáncer Esofágico.</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Después del diagnostico del cáncer esofágico, se  realizan prue</w:t>
      </w:r>
      <w:r>
        <w:rPr>
          <w:rFonts w:ascii="Arial" w:hAnsi="Arial" w:cs="Arial"/>
          <w:lang w:val="es-ES"/>
        </w:rPr>
        <w:t>bas para determinar si las células cancerosas se han diseminado dentro del esófago o a otras partes del cuerpo. El proceso utilizado para determinar si el cáncer se ha diseminado dentro del esófago o a otras partes del cuerpo se denomina clasificación en e</w:t>
      </w:r>
      <w:r>
        <w:rPr>
          <w:rFonts w:ascii="Arial" w:hAnsi="Arial" w:cs="Arial"/>
          <w:lang w:val="es-ES"/>
        </w:rPr>
        <w:t>stadios. La información obtenida a partir del proceso de clasificación en estadios determina el estadio de la enfermedad. Es importante conocer el estadio de la enfermedad a fin de planear el mejor tratamiento. En este proceso de determinación pueden utili</w:t>
      </w:r>
      <w:r>
        <w:rPr>
          <w:rFonts w:ascii="Arial" w:hAnsi="Arial" w:cs="Arial"/>
          <w:lang w:val="es-ES"/>
        </w:rPr>
        <w:t>zarse las siguientes pruebas y procedimientos:</w:t>
      </w:r>
    </w:p>
    <w:p w:rsidR="00000000" w:rsidRDefault="00BC67ED">
      <w:pPr>
        <w:tabs>
          <w:tab w:val="num" w:pos="720"/>
        </w:tabs>
        <w:spacing w:line="480" w:lineRule="auto"/>
        <w:ind w:left="708" w:right="641"/>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lastRenderedPageBreak/>
        <w:t xml:space="preserve">Broncoscopía: </w:t>
      </w:r>
      <w:r>
        <w:rPr>
          <w:rFonts w:ascii="Arial" w:hAnsi="Arial" w:cs="Arial"/>
          <w:lang w:val="es-ES"/>
        </w:rPr>
        <w:t>Procedimiento en el cual se inserta una sonda delgada, iluminada por la nariz o la boca a la traquea y los bronquios (pasajes de aire que llevan a los pulmones).  Esto permite examinar el interi</w:t>
      </w:r>
      <w:r>
        <w:rPr>
          <w:rFonts w:ascii="Arial" w:hAnsi="Arial" w:cs="Arial"/>
          <w:lang w:val="es-ES"/>
        </w:rPr>
        <w:t>or de la traquea, los bronquios y los pulmones.</w:t>
      </w:r>
    </w:p>
    <w:p w:rsidR="00000000" w:rsidRDefault="00BC67ED">
      <w:pPr>
        <w:tabs>
          <w:tab w:val="num" w:pos="720"/>
        </w:tabs>
        <w:spacing w:line="480" w:lineRule="auto"/>
        <w:ind w:left="708" w:right="-2"/>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Radiografía de tórax: </w:t>
      </w:r>
      <w:r>
        <w:rPr>
          <w:rFonts w:ascii="Arial" w:hAnsi="Arial" w:cs="Arial"/>
          <w:lang w:val="es-ES"/>
        </w:rPr>
        <w:t>Exposición breve del tórax a radiación para producir una imagen del tórax y sus estructuras internas.</w:t>
      </w:r>
    </w:p>
    <w:p w:rsidR="00000000" w:rsidRDefault="00BC67ED">
      <w:pPr>
        <w:tabs>
          <w:tab w:val="num" w:pos="720"/>
        </w:tabs>
        <w:spacing w:line="480" w:lineRule="auto"/>
        <w:ind w:left="708" w:right="-2"/>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Laringoscopia: </w:t>
      </w:r>
      <w:r>
        <w:rPr>
          <w:rFonts w:ascii="Arial" w:hAnsi="Arial" w:cs="Arial"/>
          <w:lang w:val="es-ES"/>
        </w:rPr>
        <w:t>Procedimiento en el cual el medico examina la laringe con un espejo</w:t>
      </w:r>
      <w:r>
        <w:rPr>
          <w:rFonts w:ascii="Arial" w:hAnsi="Arial" w:cs="Arial"/>
          <w:lang w:val="es-ES"/>
        </w:rPr>
        <w:t xml:space="preserve"> o con un laringoscopio (una sonda delgada, iluminada).</w:t>
      </w:r>
    </w:p>
    <w:p w:rsidR="00000000" w:rsidRDefault="00BC67ED">
      <w:pPr>
        <w:tabs>
          <w:tab w:val="num" w:pos="720"/>
        </w:tabs>
        <w:spacing w:line="480" w:lineRule="auto"/>
        <w:ind w:left="708" w:right="-2"/>
        <w:jc w:val="both"/>
        <w:rPr>
          <w:rFonts w:ascii="Arial" w:hAnsi="Arial" w:cs="Arial"/>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Tomografía computarizada (TAC): </w:t>
      </w:r>
      <w:r>
        <w:rPr>
          <w:rFonts w:ascii="Arial" w:hAnsi="Arial" w:cs="Arial"/>
          <w:lang w:val="es-ES"/>
        </w:rPr>
        <w:t xml:space="preserve">Una tomografía computarizada crea una serie de fotografías detalladas de áreas internas del cuerpo, tomadas desde ángulos diferentes. Las imágenes son creadas por una </w:t>
      </w:r>
      <w:r>
        <w:rPr>
          <w:rFonts w:ascii="Arial" w:hAnsi="Arial" w:cs="Arial"/>
          <w:lang w:val="es-ES"/>
        </w:rPr>
        <w:t>computadora conectada a una maquina de rayos X. Esta prueba se denomina también tomografía computada, tomografía computadorizada o tomografía axial computarizada.</w:t>
      </w:r>
    </w:p>
    <w:p w:rsidR="00000000" w:rsidRDefault="00BC67ED">
      <w:pPr>
        <w:tabs>
          <w:tab w:val="num" w:pos="720"/>
        </w:tabs>
        <w:spacing w:line="480" w:lineRule="auto"/>
        <w:ind w:left="708" w:right="-2"/>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Ecografía Endoscopica: </w:t>
      </w:r>
      <w:r>
        <w:rPr>
          <w:rFonts w:ascii="Arial" w:hAnsi="Arial" w:cs="Arial"/>
          <w:lang w:val="es-ES"/>
        </w:rPr>
        <w:t xml:space="preserve">Se utiliza un endoscopio (una sonda delgada, iluminada para estudiar </w:t>
      </w:r>
      <w:r>
        <w:rPr>
          <w:rFonts w:ascii="Arial" w:hAnsi="Arial" w:cs="Arial"/>
          <w:lang w:val="es-ES"/>
        </w:rPr>
        <w:t xml:space="preserve">los tejidos en el interior del cuerpo) para rebotar ondas sonoras de alta energía en los tejidos y los </w:t>
      </w:r>
      <w:r>
        <w:rPr>
          <w:rFonts w:ascii="Arial" w:hAnsi="Arial" w:cs="Arial"/>
          <w:lang w:val="es-ES"/>
        </w:rPr>
        <w:lastRenderedPageBreak/>
        <w:t>órganos internos y cambiar los ecos a fotografías denominadas sonografías. Esto se denomina también una endosonografía.</w:t>
      </w:r>
    </w:p>
    <w:p w:rsidR="00000000" w:rsidRDefault="00BC67ED">
      <w:pPr>
        <w:tabs>
          <w:tab w:val="num" w:pos="720"/>
        </w:tabs>
        <w:spacing w:line="480" w:lineRule="auto"/>
        <w:ind w:left="708" w:right="-2"/>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Toracoscopía: </w:t>
      </w:r>
      <w:r>
        <w:rPr>
          <w:rFonts w:ascii="Arial" w:hAnsi="Arial" w:cs="Arial"/>
          <w:lang w:val="es-ES"/>
        </w:rPr>
        <w:t>Se inserta un endo</w:t>
      </w:r>
      <w:r>
        <w:rPr>
          <w:rFonts w:ascii="Arial" w:hAnsi="Arial" w:cs="Arial"/>
          <w:lang w:val="es-ES"/>
        </w:rPr>
        <w:t>scopio por una incisión en la pared torácica para examinar el interior del pecho.</w:t>
      </w:r>
    </w:p>
    <w:p w:rsidR="00000000" w:rsidRDefault="00BC67ED">
      <w:pPr>
        <w:tabs>
          <w:tab w:val="num" w:pos="720"/>
        </w:tabs>
        <w:spacing w:line="480" w:lineRule="auto"/>
        <w:ind w:left="708" w:right="-2"/>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 xml:space="preserve">Laparoscopía: </w:t>
      </w:r>
      <w:r>
        <w:rPr>
          <w:rFonts w:ascii="Arial" w:hAnsi="Arial" w:cs="Arial"/>
          <w:lang w:val="es-ES"/>
        </w:rPr>
        <w:t>Se inserta un laparoscopio (sonda delgada, iluminada) a través de una incisión en la pared del abdomen a fin de visualizar los órganos y extirpar muestras de t</w:t>
      </w:r>
      <w:r>
        <w:rPr>
          <w:rFonts w:ascii="Arial" w:hAnsi="Arial" w:cs="Arial"/>
          <w:lang w:val="es-ES"/>
        </w:rPr>
        <w:t>ejido.</w:t>
      </w:r>
    </w:p>
    <w:p w:rsidR="00000000" w:rsidRDefault="00BC67ED">
      <w:pPr>
        <w:tabs>
          <w:tab w:val="num" w:pos="720"/>
        </w:tabs>
        <w:spacing w:line="480" w:lineRule="auto"/>
        <w:ind w:left="708" w:right="-2"/>
        <w:jc w:val="both"/>
        <w:rPr>
          <w:rFonts w:ascii="Arial" w:hAnsi="Arial" w:cs="Arial"/>
          <w:lang w:val="es-ES"/>
        </w:rPr>
      </w:pPr>
      <w:r>
        <w:rPr>
          <w:rFonts w:ascii="Arial" w:hAnsi="Arial" w:cs="Arial"/>
          <w:b/>
          <w:lang w:val="es-ES"/>
        </w:rPr>
        <w:t>TEP (tomografía de emisión de positrones</w:t>
      </w:r>
      <w:r>
        <w:rPr>
          <w:rFonts w:ascii="Arial" w:hAnsi="Arial" w:cs="Arial"/>
          <w:lang w:val="es-ES"/>
        </w:rPr>
        <w:t>): Una TEP crea una imagen que muestra la ubicación de células tumorales en el cuerpo. Se inyecta una sustancia denominada glucosa de radionuclido (azúcar) en el paciente a través de una vena y el aparato de l</w:t>
      </w:r>
      <w:r>
        <w:rPr>
          <w:rFonts w:ascii="Arial" w:hAnsi="Arial" w:cs="Arial"/>
          <w:lang w:val="es-ES"/>
        </w:rPr>
        <w:t>a TEP rota en torno al paciente para crear la imagen. Las células tumorales malignas se ven más brillantes en la imagen porque tienen mayor actividad y absorben más glucosa que las células normales. Estudios clínicos analizan el uso de la TEP para la clasi</w:t>
      </w:r>
      <w:r>
        <w:rPr>
          <w:rFonts w:ascii="Arial" w:hAnsi="Arial" w:cs="Arial"/>
          <w:lang w:val="es-ES"/>
        </w:rPr>
        <w:t>ficación en estadios del cáncer esofágico.</w:t>
      </w:r>
    </w:p>
    <w:p w:rsidR="00000000" w:rsidRDefault="00BC67ED">
      <w:pPr>
        <w:tabs>
          <w:tab w:val="num" w:pos="720"/>
        </w:tabs>
        <w:spacing w:line="480" w:lineRule="auto"/>
        <w:ind w:left="708" w:right="641"/>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b/>
          <w:lang w:val="es-ES"/>
        </w:rPr>
      </w:pPr>
      <w:r>
        <w:rPr>
          <w:rFonts w:ascii="Arial" w:hAnsi="Arial" w:cs="Arial"/>
          <w:b/>
          <w:lang w:val="es-ES"/>
        </w:rPr>
        <w:t>Se utilizan los siguientes estadios para el cáncer esofágico:</w:t>
      </w:r>
    </w:p>
    <w:p w:rsidR="00000000" w:rsidRDefault="00BC67ED">
      <w:pPr>
        <w:tabs>
          <w:tab w:val="num" w:pos="720"/>
        </w:tabs>
        <w:spacing w:line="480" w:lineRule="auto"/>
        <w:ind w:left="708" w:right="641"/>
        <w:jc w:val="both"/>
        <w:rPr>
          <w:rFonts w:ascii="Arial" w:hAnsi="Arial" w:cs="Arial"/>
          <w:b/>
          <w:lang w:val="es-ES"/>
        </w:rPr>
      </w:pPr>
    </w:p>
    <w:p w:rsidR="00000000" w:rsidRDefault="00BC67ED">
      <w:pPr>
        <w:tabs>
          <w:tab w:val="num" w:pos="720"/>
        </w:tabs>
        <w:spacing w:line="480" w:lineRule="auto"/>
        <w:ind w:left="708" w:right="641"/>
        <w:jc w:val="both"/>
        <w:rPr>
          <w:rFonts w:ascii="Arial" w:hAnsi="Arial" w:cs="Arial"/>
          <w:b/>
          <w:lang w:val="es-ES"/>
        </w:rPr>
      </w:pPr>
    </w:p>
    <w:p w:rsidR="00000000" w:rsidRDefault="00BC67ED">
      <w:pPr>
        <w:tabs>
          <w:tab w:val="num" w:pos="720"/>
        </w:tabs>
        <w:spacing w:line="480" w:lineRule="auto"/>
        <w:ind w:left="708" w:right="641"/>
        <w:jc w:val="both"/>
        <w:rPr>
          <w:rFonts w:ascii="Arial" w:hAnsi="Arial" w:cs="Arial"/>
          <w:b/>
          <w:lang w:val="es-ES"/>
        </w:rPr>
      </w:pPr>
      <w:r>
        <w:rPr>
          <w:rFonts w:ascii="Arial" w:hAnsi="Arial" w:cs="Arial"/>
          <w:b/>
          <w:lang w:val="es-ES"/>
        </w:rPr>
        <w:lastRenderedPageBreak/>
        <w:t>Estadio 0 (Carcinoma in situ)</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En el estadio 0 (carcinoma in situ), el cáncer se encuentra solamente en la capa interna de células que recubren el es</w:t>
      </w:r>
      <w:r>
        <w:rPr>
          <w:rFonts w:ascii="Arial" w:hAnsi="Arial" w:cs="Arial"/>
          <w:lang w:val="es-ES"/>
        </w:rPr>
        <w:t>ófago.</w:t>
      </w:r>
    </w:p>
    <w:p w:rsidR="00000000" w:rsidRDefault="00BC67ED">
      <w:pPr>
        <w:tabs>
          <w:tab w:val="num" w:pos="720"/>
        </w:tabs>
        <w:spacing w:line="480" w:lineRule="auto"/>
        <w:ind w:left="708" w:right="641"/>
        <w:jc w:val="both"/>
        <w:rPr>
          <w:rFonts w:ascii="Arial" w:hAnsi="Arial" w:cs="Arial"/>
          <w:b/>
          <w:lang w:val="es-ES"/>
        </w:rPr>
      </w:pPr>
      <w:r>
        <w:rPr>
          <w:rFonts w:ascii="Arial" w:hAnsi="Arial" w:cs="Arial"/>
          <w:b/>
          <w:lang w:val="es-ES"/>
        </w:rPr>
        <w:t xml:space="preserve">Estadio I </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En el estadio I, el cáncer se ha diseminado más allá de la capa interna de células hasta la siguiente capa de tejido en la pared del esófago.</w:t>
      </w:r>
    </w:p>
    <w:p w:rsidR="00000000" w:rsidRDefault="00BC67ED">
      <w:pPr>
        <w:tabs>
          <w:tab w:val="num" w:pos="720"/>
        </w:tabs>
        <w:spacing w:line="480" w:lineRule="auto"/>
        <w:ind w:left="708" w:right="641"/>
        <w:jc w:val="both"/>
        <w:rPr>
          <w:rFonts w:ascii="Arial" w:hAnsi="Arial" w:cs="Arial"/>
          <w:b/>
          <w:lang w:val="es-ES"/>
        </w:rPr>
      </w:pPr>
      <w:r>
        <w:rPr>
          <w:rFonts w:ascii="Arial" w:hAnsi="Arial" w:cs="Arial"/>
          <w:b/>
          <w:lang w:val="es-ES"/>
        </w:rPr>
        <w:t xml:space="preserve">Estadio II </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El cáncer esofágico en el estadio II puede dividirse en estadio IIA y estadio IIB, s</w:t>
      </w:r>
      <w:r>
        <w:rPr>
          <w:rFonts w:ascii="Arial" w:hAnsi="Arial" w:cs="Arial"/>
          <w:lang w:val="es-ES"/>
        </w:rPr>
        <w:t>egún del lugar donde se ha diseminado.</w:t>
      </w:r>
    </w:p>
    <w:p w:rsidR="00000000" w:rsidRDefault="00BC67ED" w:rsidP="00BC67ED">
      <w:pPr>
        <w:numPr>
          <w:ilvl w:val="0"/>
          <w:numId w:val="17"/>
        </w:numPr>
        <w:tabs>
          <w:tab w:val="num" w:pos="1428"/>
        </w:tabs>
        <w:spacing w:line="480" w:lineRule="auto"/>
        <w:ind w:left="708" w:right="-2" w:firstLine="0"/>
        <w:jc w:val="both"/>
        <w:rPr>
          <w:rFonts w:ascii="Arial" w:hAnsi="Arial" w:cs="Arial"/>
          <w:lang w:val="es-ES"/>
        </w:rPr>
      </w:pPr>
      <w:r>
        <w:rPr>
          <w:rFonts w:ascii="Arial" w:hAnsi="Arial" w:cs="Arial"/>
          <w:b/>
          <w:lang w:val="es-ES"/>
        </w:rPr>
        <w:t xml:space="preserve">Estadio IIA: </w:t>
      </w:r>
      <w:r>
        <w:rPr>
          <w:rFonts w:ascii="Arial" w:hAnsi="Arial" w:cs="Arial"/>
          <w:lang w:val="es-ES"/>
        </w:rPr>
        <w:t xml:space="preserve">El cáncer se ha diseminado a la capa de músculo esofágico o a la pared exterior del esófago. </w:t>
      </w:r>
    </w:p>
    <w:p w:rsidR="00000000" w:rsidRDefault="00BC67ED" w:rsidP="00BC67ED">
      <w:pPr>
        <w:numPr>
          <w:ilvl w:val="0"/>
          <w:numId w:val="17"/>
        </w:numPr>
        <w:tabs>
          <w:tab w:val="num" w:pos="1428"/>
        </w:tabs>
        <w:spacing w:line="480" w:lineRule="auto"/>
        <w:ind w:left="708" w:right="-2" w:firstLine="0"/>
        <w:jc w:val="both"/>
        <w:rPr>
          <w:rFonts w:ascii="Arial" w:hAnsi="Arial" w:cs="Arial"/>
          <w:lang w:val="es-ES"/>
        </w:rPr>
      </w:pPr>
      <w:r>
        <w:rPr>
          <w:rFonts w:ascii="Arial" w:hAnsi="Arial" w:cs="Arial"/>
          <w:b/>
          <w:lang w:val="es-ES"/>
        </w:rPr>
        <w:t xml:space="preserve">Estadio IIB: </w:t>
      </w:r>
      <w:r>
        <w:rPr>
          <w:rFonts w:ascii="Arial" w:hAnsi="Arial" w:cs="Arial"/>
          <w:lang w:val="es-ES"/>
        </w:rPr>
        <w:t>El cáncer puede haberse diseminado a alguna de las tres primeras capas del esófago y a los gangli</w:t>
      </w:r>
      <w:r>
        <w:rPr>
          <w:rFonts w:ascii="Arial" w:hAnsi="Arial" w:cs="Arial"/>
          <w:lang w:val="es-ES"/>
        </w:rPr>
        <w:t>os linfáticos circundantes. Los ganglios linfáticos son estructuras pequeñas, en forma de fríjol, que se encuentran en todo el cuerpo. Filtran sustancias en un líquido llamado linfa y ayudan a combatir infecciones y enfermedades.</w:t>
      </w:r>
    </w:p>
    <w:p w:rsidR="00000000" w:rsidRDefault="00BC67ED">
      <w:pPr>
        <w:tabs>
          <w:tab w:val="num" w:pos="720"/>
        </w:tabs>
        <w:spacing w:line="480" w:lineRule="auto"/>
        <w:ind w:left="708" w:right="641"/>
        <w:jc w:val="both"/>
        <w:rPr>
          <w:rFonts w:ascii="Arial" w:hAnsi="Arial" w:cs="Arial"/>
          <w:b/>
          <w:lang w:val="es-ES"/>
        </w:rPr>
      </w:pPr>
    </w:p>
    <w:p w:rsidR="00000000" w:rsidRDefault="00BC67ED">
      <w:pPr>
        <w:tabs>
          <w:tab w:val="num" w:pos="720"/>
        </w:tabs>
        <w:spacing w:line="480" w:lineRule="auto"/>
        <w:ind w:left="708" w:right="-2"/>
        <w:jc w:val="both"/>
        <w:rPr>
          <w:rFonts w:ascii="Arial" w:hAnsi="Arial" w:cs="Arial"/>
          <w:b/>
          <w:lang w:val="es-ES"/>
        </w:rPr>
      </w:pPr>
      <w:r>
        <w:rPr>
          <w:rFonts w:ascii="Arial" w:hAnsi="Arial" w:cs="Arial"/>
          <w:b/>
          <w:lang w:val="es-ES"/>
        </w:rPr>
        <w:t>Estadio III</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En el estadio</w:t>
      </w:r>
      <w:r>
        <w:rPr>
          <w:rFonts w:ascii="Arial" w:hAnsi="Arial" w:cs="Arial"/>
          <w:lang w:val="es-ES"/>
        </w:rPr>
        <w:t xml:space="preserve"> III, el cáncer se ha diseminado a la pared exterior del esófago y puede haberse diseminado a los tejidos o a los ganglios linfáticos cerca del esófago.</w:t>
      </w:r>
    </w:p>
    <w:p w:rsidR="00000000" w:rsidRDefault="00BC67ED">
      <w:pPr>
        <w:tabs>
          <w:tab w:val="num" w:pos="720"/>
        </w:tabs>
        <w:spacing w:line="480" w:lineRule="auto"/>
        <w:ind w:left="708" w:right="-2"/>
        <w:jc w:val="both"/>
        <w:rPr>
          <w:rFonts w:ascii="Arial" w:hAnsi="Arial" w:cs="Arial"/>
          <w:b/>
          <w:lang w:val="es-ES"/>
        </w:rPr>
      </w:pPr>
      <w:r>
        <w:rPr>
          <w:rFonts w:ascii="Arial" w:hAnsi="Arial" w:cs="Arial"/>
          <w:b/>
          <w:lang w:val="es-ES"/>
        </w:rPr>
        <w:lastRenderedPageBreak/>
        <w:t>Estadio IV</w:t>
      </w:r>
    </w:p>
    <w:p w:rsidR="00000000" w:rsidRDefault="00BC67ED">
      <w:pPr>
        <w:tabs>
          <w:tab w:val="num" w:pos="720"/>
        </w:tabs>
        <w:spacing w:line="480" w:lineRule="auto"/>
        <w:ind w:left="708" w:right="-2"/>
        <w:jc w:val="both"/>
        <w:rPr>
          <w:rFonts w:ascii="Arial" w:hAnsi="Arial" w:cs="Arial"/>
          <w:lang w:val="es-ES"/>
        </w:rPr>
      </w:pPr>
      <w:r>
        <w:rPr>
          <w:rFonts w:ascii="Arial" w:hAnsi="Arial" w:cs="Arial"/>
          <w:lang w:val="es-ES"/>
        </w:rPr>
        <w:t>En el estadio IV, el cáncer se ha diseminado desde el esófago a otras partes del cuerpo y pu</w:t>
      </w:r>
      <w:r>
        <w:rPr>
          <w:rFonts w:ascii="Arial" w:hAnsi="Arial" w:cs="Arial"/>
          <w:lang w:val="es-ES"/>
        </w:rPr>
        <w:t>ede haberse diseminado también a ganglios linfáticos circundantes. El cáncer esofágico en el estadio IV puede dividirse en estadio IVA y estadio IVB, de acuerdo con el lugar donde se ha diseminado.</w:t>
      </w:r>
    </w:p>
    <w:p w:rsidR="00000000" w:rsidRDefault="00BC67ED">
      <w:pPr>
        <w:tabs>
          <w:tab w:val="num" w:pos="720"/>
        </w:tabs>
        <w:spacing w:line="480" w:lineRule="auto"/>
        <w:ind w:left="708" w:right="-2"/>
        <w:jc w:val="both"/>
        <w:rPr>
          <w:rFonts w:ascii="Arial" w:hAnsi="Arial" w:cs="Arial"/>
          <w:lang w:val="es-ES"/>
        </w:rPr>
      </w:pPr>
    </w:p>
    <w:p w:rsidR="00000000" w:rsidRDefault="00BC67ED" w:rsidP="00BC67ED">
      <w:pPr>
        <w:numPr>
          <w:ilvl w:val="0"/>
          <w:numId w:val="18"/>
        </w:numPr>
        <w:tabs>
          <w:tab w:val="num" w:pos="1428"/>
        </w:tabs>
        <w:spacing w:line="480" w:lineRule="auto"/>
        <w:ind w:left="708" w:right="-2" w:firstLine="0"/>
        <w:jc w:val="both"/>
        <w:rPr>
          <w:rFonts w:ascii="Arial" w:hAnsi="Arial" w:cs="Arial"/>
          <w:b/>
          <w:lang w:val="es-ES"/>
        </w:rPr>
      </w:pPr>
      <w:r>
        <w:rPr>
          <w:rFonts w:ascii="Arial" w:hAnsi="Arial" w:cs="Arial"/>
          <w:b/>
          <w:lang w:val="es-ES"/>
        </w:rPr>
        <w:t xml:space="preserve">Estadio IVA: </w:t>
      </w:r>
      <w:r>
        <w:rPr>
          <w:rFonts w:ascii="Arial" w:hAnsi="Arial" w:cs="Arial"/>
          <w:lang w:val="es-ES"/>
        </w:rPr>
        <w:t>El cáncer se ha diseminado a ganglios linfát</w:t>
      </w:r>
      <w:r>
        <w:rPr>
          <w:rFonts w:ascii="Arial" w:hAnsi="Arial" w:cs="Arial"/>
          <w:lang w:val="es-ES"/>
        </w:rPr>
        <w:t>icos circundantes o distantes.</w:t>
      </w:r>
    </w:p>
    <w:p w:rsidR="00000000" w:rsidRDefault="00BC67ED">
      <w:pPr>
        <w:spacing w:line="480" w:lineRule="auto"/>
        <w:ind w:left="708" w:right="-2"/>
        <w:jc w:val="both"/>
        <w:rPr>
          <w:rFonts w:ascii="Arial" w:hAnsi="Arial" w:cs="Arial"/>
          <w:b/>
          <w:lang w:val="es-ES"/>
        </w:rPr>
      </w:pPr>
    </w:p>
    <w:p w:rsidR="00000000" w:rsidRDefault="00BC67ED" w:rsidP="00BC67ED">
      <w:pPr>
        <w:numPr>
          <w:ilvl w:val="0"/>
          <w:numId w:val="18"/>
        </w:numPr>
        <w:tabs>
          <w:tab w:val="num" w:pos="1428"/>
        </w:tabs>
        <w:spacing w:line="480" w:lineRule="auto"/>
        <w:ind w:left="708" w:right="-2" w:firstLine="0"/>
        <w:jc w:val="both"/>
        <w:rPr>
          <w:rFonts w:ascii="Arial" w:hAnsi="Arial" w:cs="Arial"/>
          <w:lang w:val="es-ES"/>
        </w:rPr>
      </w:pPr>
      <w:r>
        <w:rPr>
          <w:rFonts w:ascii="Arial" w:hAnsi="Arial" w:cs="Arial"/>
          <w:b/>
          <w:lang w:val="es-ES"/>
        </w:rPr>
        <w:t xml:space="preserve">Estadio IVB: </w:t>
      </w:r>
      <w:r>
        <w:rPr>
          <w:rFonts w:ascii="Arial" w:hAnsi="Arial" w:cs="Arial"/>
          <w:lang w:val="es-ES"/>
        </w:rPr>
        <w:t>El cáncer se ha diseminado a ganglios linfáticos distantes u órganos en otras partes del cuerpo.</w:t>
      </w:r>
    </w:p>
    <w:p w:rsidR="00000000" w:rsidRDefault="00BC67ED">
      <w:pPr>
        <w:pStyle w:val="NormalWeb"/>
        <w:tabs>
          <w:tab w:val="num" w:pos="720"/>
        </w:tabs>
        <w:ind w:left="708"/>
        <w:rPr>
          <w:rFonts w:ascii="Arial" w:hAnsi="Arial" w:cs="Arial"/>
          <w:b/>
          <w:bCs/>
          <w:u w:val="single"/>
        </w:rPr>
      </w:pPr>
    </w:p>
    <w:p w:rsidR="00000000" w:rsidRDefault="00BC67ED">
      <w:pPr>
        <w:pStyle w:val="NormalWeb"/>
        <w:tabs>
          <w:tab w:val="num" w:pos="720"/>
        </w:tabs>
        <w:ind w:left="708"/>
        <w:rPr>
          <w:rFonts w:ascii="Arial" w:hAnsi="Arial" w:cs="Arial"/>
          <w:b/>
          <w:bCs/>
          <w:u w:val="single"/>
        </w:rPr>
      </w:pPr>
    </w:p>
    <w:p w:rsidR="00000000" w:rsidRDefault="00BC67ED">
      <w:pPr>
        <w:pStyle w:val="NormalWeb"/>
        <w:tabs>
          <w:tab w:val="num" w:pos="720"/>
        </w:tabs>
        <w:ind w:left="708"/>
        <w:rPr>
          <w:rFonts w:ascii="Arial" w:hAnsi="Arial" w:cs="Arial"/>
          <w:b/>
          <w:bCs/>
          <w:u w:val="single"/>
        </w:rPr>
      </w:pPr>
      <w:r>
        <w:rPr>
          <w:rFonts w:ascii="Arial" w:hAnsi="Arial" w:cs="Arial"/>
          <w:b/>
          <w:bCs/>
          <w:u w:val="single"/>
        </w:rPr>
        <w:t>Tasas de Supervivencia por Etapa</w:t>
      </w:r>
    </w:p>
    <w:p w:rsidR="00000000" w:rsidRDefault="00BC67ED">
      <w:pPr>
        <w:pStyle w:val="NormalWeb"/>
        <w:tabs>
          <w:tab w:val="num" w:pos="720"/>
        </w:tabs>
        <w:ind w:left="708"/>
        <w:rPr>
          <w:rFonts w:ascii="Arial" w:hAnsi="Arial" w:cs="Arial"/>
          <w:u w:val="single"/>
        </w:rPr>
      </w:pPr>
    </w:p>
    <w:tbl>
      <w:tblPr>
        <w:tblW w:w="4658" w:type="dxa"/>
        <w:tblCellSpacing w:w="15" w:type="dxa"/>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878"/>
        <w:gridCol w:w="3780"/>
      </w:tblGrid>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b/>
                <w:bCs/>
              </w:rPr>
              <w:t>Etapa</w:t>
            </w:r>
          </w:p>
        </w:tc>
        <w:tc>
          <w:tcPr>
            <w:tcW w:w="0" w:type="auto"/>
            <w:vAlign w:val="center"/>
          </w:tcPr>
          <w:p w:rsidR="00000000" w:rsidRDefault="00BC67ED">
            <w:pPr>
              <w:tabs>
                <w:tab w:val="num" w:pos="720"/>
              </w:tabs>
              <w:jc w:val="center"/>
              <w:rPr>
                <w:rFonts w:ascii="Arial" w:hAnsi="Arial" w:cs="Arial"/>
              </w:rPr>
            </w:pPr>
            <w:r>
              <w:rPr>
                <w:rFonts w:ascii="Arial" w:hAnsi="Arial" w:cs="Arial"/>
                <w:b/>
                <w:bCs/>
              </w:rPr>
              <w:t>Tasa de Supervivencia a 5 Años</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0</w:t>
            </w:r>
          </w:p>
        </w:tc>
        <w:tc>
          <w:tcPr>
            <w:tcW w:w="0" w:type="auto"/>
            <w:vAlign w:val="center"/>
          </w:tcPr>
          <w:p w:rsidR="00000000" w:rsidRDefault="00BC67ED">
            <w:pPr>
              <w:tabs>
                <w:tab w:val="num" w:pos="720"/>
              </w:tabs>
              <w:rPr>
                <w:rFonts w:ascii="Arial" w:hAnsi="Arial" w:cs="Arial"/>
              </w:rPr>
            </w:pPr>
            <w:r>
              <w:rPr>
                <w:rFonts w:ascii="Arial" w:hAnsi="Arial" w:cs="Arial"/>
              </w:rPr>
              <w:t>75%</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I</w:t>
            </w:r>
          </w:p>
        </w:tc>
        <w:tc>
          <w:tcPr>
            <w:tcW w:w="0" w:type="auto"/>
            <w:vAlign w:val="center"/>
          </w:tcPr>
          <w:p w:rsidR="00000000" w:rsidRDefault="00BC67ED">
            <w:pPr>
              <w:tabs>
                <w:tab w:val="num" w:pos="720"/>
              </w:tabs>
              <w:rPr>
                <w:rFonts w:ascii="Arial" w:hAnsi="Arial" w:cs="Arial"/>
              </w:rPr>
            </w:pPr>
            <w:r>
              <w:rPr>
                <w:rFonts w:ascii="Arial" w:hAnsi="Arial" w:cs="Arial"/>
              </w:rPr>
              <w:t>50%</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IIa</w:t>
            </w:r>
          </w:p>
        </w:tc>
        <w:tc>
          <w:tcPr>
            <w:tcW w:w="0" w:type="auto"/>
            <w:vAlign w:val="center"/>
          </w:tcPr>
          <w:p w:rsidR="00000000" w:rsidRDefault="00BC67ED">
            <w:pPr>
              <w:tabs>
                <w:tab w:val="num" w:pos="720"/>
              </w:tabs>
              <w:rPr>
                <w:rFonts w:ascii="Arial" w:hAnsi="Arial" w:cs="Arial"/>
              </w:rPr>
            </w:pPr>
            <w:r>
              <w:rPr>
                <w:rFonts w:ascii="Arial" w:hAnsi="Arial" w:cs="Arial"/>
              </w:rPr>
              <w:t>40%</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IIb</w:t>
            </w:r>
          </w:p>
        </w:tc>
        <w:tc>
          <w:tcPr>
            <w:tcW w:w="0" w:type="auto"/>
            <w:vAlign w:val="center"/>
          </w:tcPr>
          <w:p w:rsidR="00000000" w:rsidRDefault="00BC67ED">
            <w:pPr>
              <w:tabs>
                <w:tab w:val="num" w:pos="720"/>
              </w:tabs>
              <w:rPr>
                <w:rFonts w:ascii="Arial" w:hAnsi="Arial" w:cs="Arial"/>
              </w:rPr>
            </w:pPr>
            <w:r>
              <w:rPr>
                <w:rFonts w:ascii="Arial" w:hAnsi="Arial" w:cs="Arial"/>
              </w:rPr>
              <w:t>20%</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III</w:t>
            </w:r>
          </w:p>
        </w:tc>
        <w:tc>
          <w:tcPr>
            <w:tcW w:w="0" w:type="auto"/>
            <w:vAlign w:val="center"/>
          </w:tcPr>
          <w:p w:rsidR="00000000" w:rsidRDefault="00BC67ED">
            <w:pPr>
              <w:tabs>
                <w:tab w:val="num" w:pos="720"/>
              </w:tabs>
              <w:rPr>
                <w:rFonts w:ascii="Arial" w:hAnsi="Arial" w:cs="Arial"/>
              </w:rPr>
            </w:pPr>
            <w:r>
              <w:rPr>
                <w:rFonts w:ascii="Arial" w:hAnsi="Arial" w:cs="Arial"/>
              </w:rPr>
              <w:t>15%</w:t>
            </w:r>
          </w:p>
        </w:tc>
      </w:tr>
      <w:tr w:rsidR="00000000">
        <w:trPr>
          <w:tblCellSpacing w:w="15" w:type="dxa"/>
        </w:trPr>
        <w:tc>
          <w:tcPr>
            <w:tcW w:w="833" w:type="dxa"/>
            <w:vAlign w:val="center"/>
          </w:tcPr>
          <w:p w:rsidR="00000000" w:rsidRDefault="00BC67ED">
            <w:pPr>
              <w:tabs>
                <w:tab w:val="num" w:pos="720"/>
              </w:tabs>
              <w:jc w:val="center"/>
              <w:rPr>
                <w:rFonts w:ascii="Arial" w:hAnsi="Arial" w:cs="Arial"/>
              </w:rPr>
            </w:pPr>
            <w:r>
              <w:rPr>
                <w:rFonts w:ascii="Arial" w:hAnsi="Arial" w:cs="Arial"/>
              </w:rPr>
              <w:t>IV</w:t>
            </w:r>
          </w:p>
        </w:tc>
        <w:tc>
          <w:tcPr>
            <w:tcW w:w="0" w:type="auto"/>
            <w:vAlign w:val="center"/>
          </w:tcPr>
          <w:p w:rsidR="00000000" w:rsidRDefault="00BC67ED">
            <w:pPr>
              <w:tabs>
                <w:tab w:val="num" w:pos="720"/>
              </w:tabs>
              <w:rPr>
                <w:rFonts w:ascii="Arial" w:hAnsi="Arial" w:cs="Arial"/>
              </w:rPr>
            </w:pPr>
            <w:r>
              <w:rPr>
                <w:rFonts w:ascii="Arial" w:hAnsi="Arial" w:cs="Arial"/>
              </w:rPr>
              <w:t>Menos del 1%</w:t>
            </w:r>
          </w:p>
        </w:tc>
      </w:tr>
    </w:tbl>
    <w:p w:rsidR="00000000" w:rsidRDefault="00BC67ED">
      <w:pPr>
        <w:tabs>
          <w:tab w:val="num" w:pos="720"/>
        </w:tabs>
        <w:spacing w:line="480" w:lineRule="auto"/>
        <w:ind w:left="708" w:right="-2"/>
        <w:jc w:val="both"/>
      </w:pPr>
    </w:p>
    <w:p w:rsidR="00000000" w:rsidRDefault="00BC67ED">
      <w:pPr>
        <w:tabs>
          <w:tab w:val="num" w:pos="720"/>
        </w:tabs>
        <w:spacing w:line="480" w:lineRule="auto"/>
        <w:ind w:left="708" w:right="-2"/>
        <w:jc w:val="both"/>
        <w:rPr>
          <w:rFonts w:ascii="Arial" w:hAnsi="Arial" w:cs="Arial"/>
        </w:rPr>
      </w:pPr>
      <w:r>
        <w:rPr>
          <w:rFonts w:ascii="Arial" w:hAnsi="Arial" w:cs="Arial"/>
        </w:rPr>
        <w:lastRenderedPageBreak/>
        <w:t xml:space="preserve">Estas tasas de supervivencia constituyen un promedio de los resultados obtenidos en pacientes que se encontraban en la misma etapa. No se tienen en cuenta los diferentes tratamientos, ni el estado general de salud del paciente. Se trata </w:t>
      </w:r>
      <w:r>
        <w:rPr>
          <w:rFonts w:ascii="Arial" w:hAnsi="Arial" w:cs="Arial"/>
        </w:rPr>
        <w:t>de estimados solamente, y las perspectivas para cualquier paciente individual pueden diferir de estas cifras de promedio.</w:t>
      </w:r>
    </w:p>
    <w:p w:rsidR="00000000" w:rsidRDefault="00BC67ED">
      <w:pPr>
        <w:pStyle w:val="Ttulo3"/>
        <w:tabs>
          <w:tab w:val="num" w:pos="720"/>
        </w:tabs>
        <w:ind w:left="708"/>
        <w:rPr>
          <w:color w:val="333366"/>
          <w:sz w:val="24"/>
          <w:szCs w:val="24"/>
          <w:u w:val="single"/>
        </w:rPr>
      </w:pPr>
      <w:r>
        <w:rPr>
          <w:sz w:val="24"/>
          <w:szCs w:val="24"/>
          <w:u w:val="single"/>
        </w:rPr>
        <w:t>Definiciones TNM</w:t>
      </w:r>
    </w:p>
    <w:p w:rsidR="00000000" w:rsidRDefault="00BC67ED">
      <w:pPr>
        <w:pStyle w:val="NormalWeb"/>
        <w:tabs>
          <w:tab w:val="num" w:pos="720"/>
        </w:tabs>
        <w:ind w:left="708"/>
        <w:rPr>
          <w:rFonts w:ascii="Arial" w:hAnsi="Arial" w:cs="Arial"/>
        </w:rPr>
      </w:pPr>
      <w:bookmarkStart w:id="0" w:name="Section_16"/>
      <w:bookmarkEnd w:id="0"/>
      <w:r>
        <w:rPr>
          <w:rFonts w:ascii="Arial" w:hAnsi="Arial" w:cs="Arial"/>
          <w:b/>
          <w:bCs/>
          <w:i/>
          <w:iCs/>
        </w:rPr>
        <w:t>Tumor primario (T)</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TX:</w:t>
      </w:r>
      <w:r>
        <w:rPr>
          <w:rFonts w:ascii="Arial" w:hAnsi="Arial" w:cs="Arial"/>
          <w:color w:val="000000"/>
        </w:rPr>
        <w:t xml:space="preserve"> No puede evaluarse un tumor primario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T0:</w:t>
      </w:r>
      <w:r>
        <w:rPr>
          <w:rFonts w:ascii="Arial" w:hAnsi="Arial" w:cs="Arial"/>
          <w:color w:val="000000"/>
        </w:rPr>
        <w:t xml:space="preserve"> No hay evidencia de tumor primario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Tis:</w:t>
      </w:r>
      <w:r>
        <w:rPr>
          <w:rFonts w:ascii="Arial" w:hAnsi="Arial" w:cs="Arial"/>
          <w:color w:val="000000"/>
        </w:rPr>
        <w:t xml:space="preserve"> Carcinoma </w:t>
      </w:r>
      <w:r>
        <w:rPr>
          <w:rFonts w:ascii="Arial" w:hAnsi="Arial" w:cs="Arial"/>
          <w:i/>
          <w:iCs/>
          <w:color w:val="000000"/>
        </w:rPr>
        <w:t>i</w:t>
      </w:r>
      <w:r>
        <w:rPr>
          <w:rFonts w:ascii="Arial" w:hAnsi="Arial" w:cs="Arial"/>
          <w:i/>
          <w:iCs/>
          <w:color w:val="000000"/>
        </w:rPr>
        <w:t>n situ</w:t>
      </w:r>
      <w:r>
        <w:rPr>
          <w:rFonts w:ascii="Arial" w:hAnsi="Arial" w:cs="Arial"/>
          <w:color w:val="000000"/>
        </w:rPr>
        <w:t xml:space="preserve">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T1:</w:t>
      </w:r>
      <w:r>
        <w:rPr>
          <w:rFonts w:ascii="Arial" w:hAnsi="Arial" w:cs="Arial"/>
          <w:color w:val="000000"/>
        </w:rPr>
        <w:t xml:space="preserve"> Tumor invade la lámina propia o la submucosa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T2:</w:t>
      </w:r>
      <w:r>
        <w:rPr>
          <w:rFonts w:ascii="Arial" w:hAnsi="Arial" w:cs="Arial"/>
          <w:color w:val="000000"/>
        </w:rPr>
        <w:t xml:space="preserve"> Tumor invade la muscularis propia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T3:</w:t>
      </w:r>
      <w:r>
        <w:rPr>
          <w:rFonts w:ascii="Arial" w:hAnsi="Arial" w:cs="Arial"/>
          <w:color w:val="000000"/>
        </w:rPr>
        <w:t xml:space="preserve"> Tumor invade la túnica adventicia </w:t>
      </w:r>
    </w:p>
    <w:p w:rsidR="00000000" w:rsidRDefault="00BC67ED" w:rsidP="00BC67ED">
      <w:pPr>
        <w:numPr>
          <w:ilvl w:val="0"/>
          <w:numId w:val="19"/>
        </w:numPr>
        <w:tabs>
          <w:tab w:val="clear" w:pos="720"/>
          <w:tab w:val="num" w:pos="1428"/>
          <w:tab w:val="num" w:pos="2844"/>
        </w:tabs>
        <w:spacing w:before="94" w:line="480" w:lineRule="auto"/>
        <w:ind w:left="708" w:firstLine="0"/>
        <w:rPr>
          <w:rFonts w:ascii="Arial" w:hAnsi="Arial" w:cs="Arial"/>
          <w:color w:val="000000"/>
        </w:rPr>
      </w:pPr>
      <w:r>
        <w:rPr>
          <w:rFonts w:ascii="Arial" w:hAnsi="Arial" w:cs="Arial"/>
          <w:b/>
          <w:color w:val="000000"/>
        </w:rPr>
        <w:t>T4:</w:t>
      </w:r>
      <w:r>
        <w:rPr>
          <w:rFonts w:ascii="Arial" w:hAnsi="Arial" w:cs="Arial"/>
          <w:color w:val="000000"/>
        </w:rPr>
        <w:t xml:space="preserve"> Tumor invade las estructuras adyacentes </w:t>
      </w:r>
    </w:p>
    <w:p w:rsidR="00000000" w:rsidRDefault="00BC67ED">
      <w:pPr>
        <w:pStyle w:val="NormalWeb"/>
        <w:tabs>
          <w:tab w:val="num" w:pos="720"/>
        </w:tabs>
        <w:ind w:left="708"/>
        <w:rPr>
          <w:rFonts w:ascii="Arial" w:hAnsi="Arial" w:cs="Arial"/>
          <w:color w:val="000000"/>
        </w:rPr>
      </w:pPr>
      <w:bookmarkStart w:id="1" w:name="Section_18"/>
      <w:bookmarkEnd w:id="1"/>
      <w:r>
        <w:rPr>
          <w:rFonts w:ascii="Arial" w:hAnsi="Arial" w:cs="Arial"/>
          <w:b/>
          <w:bCs/>
          <w:i/>
          <w:iCs/>
        </w:rPr>
        <w:t xml:space="preserve">Ganglios linfáticos regionales (N) </w:t>
      </w:r>
    </w:p>
    <w:p w:rsidR="00000000" w:rsidRDefault="00BC67ED" w:rsidP="00BC67ED">
      <w:pPr>
        <w:numPr>
          <w:ilvl w:val="0"/>
          <w:numId w:val="20"/>
        </w:numPr>
        <w:tabs>
          <w:tab w:val="clear" w:pos="720"/>
          <w:tab w:val="num" w:pos="1428"/>
          <w:tab w:val="num" w:pos="2844"/>
        </w:tabs>
        <w:spacing w:before="94" w:line="480" w:lineRule="auto"/>
        <w:ind w:left="708" w:firstLine="0"/>
        <w:jc w:val="both"/>
        <w:rPr>
          <w:rFonts w:ascii="Arial" w:hAnsi="Arial" w:cs="Arial"/>
          <w:color w:val="000000"/>
        </w:rPr>
      </w:pPr>
      <w:r>
        <w:rPr>
          <w:rFonts w:ascii="Arial" w:hAnsi="Arial" w:cs="Arial"/>
          <w:b/>
          <w:color w:val="000000"/>
        </w:rPr>
        <w:t xml:space="preserve">NX: </w:t>
      </w:r>
      <w:r>
        <w:rPr>
          <w:rFonts w:ascii="Arial" w:hAnsi="Arial" w:cs="Arial"/>
          <w:color w:val="000000"/>
        </w:rPr>
        <w:t>No pueden evaluarse ganglios linfát</w:t>
      </w:r>
      <w:r>
        <w:rPr>
          <w:rFonts w:ascii="Arial" w:hAnsi="Arial" w:cs="Arial"/>
          <w:color w:val="000000"/>
        </w:rPr>
        <w:t xml:space="preserve">icos regionales </w:t>
      </w:r>
    </w:p>
    <w:p w:rsidR="00000000" w:rsidRDefault="00BC67ED" w:rsidP="00BC67ED">
      <w:pPr>
        <w:numPr>
          <w:ilvl w:val="0"/>
          <w:numId w:val="20"/>
        </w:numPr>
        <w:tabs>
          <w:tab w:val="clear" w:pos="720"/>
          <w:tab w:val="num" w:pos="1428"/>
          <w:tab w:val="num" w:pos="2844"/>
        </w:tabs>
        <w:spacing w:before="94" w:line="480" w:lineRule="auto"/>
        <w:ind w:left="708" w:firstLine="0"/>
        <w:jc w:val="both"/>
        <w:rPr>
          <w:rFonts w:ascii="Arial" w:hAnsi="Arial" w:cs="Arial"/>
          <w:color w:val="000000"/>
        </w:rPr>
      </w:pPr>
      <w:r>
        <w:rPr>
          <w:rFonts w:ascii="Arial" w:hAnsi="Arial" w:cs="Arial"/>
          <w:b/>
          <w:color w:val="000000"/>
        </w:rPr>
        <w:t>N0:</w:t>
      </w:r>
      <w:r>
        <w:rPr>
          <w:rFonts w:ascii="Arial" w:hAnsi="Arial" w:cs="Arial"/>
          <w:color w:val="000000"/>
        </w:rPr>
        <w:t xml:space="preserve"> No hay metástasis a los ganglios linfáticos regionales </w:t>
      </w:r>
    </w:p>
    <w:p w:rsidR="00000000" w:rsidRDefault="00BC67ED" w:rsidP="00BC67ED">
      <w:pPr>
        <w:numPr>
          <w:ilvl w:val="0"/>
          <w:numId w:val="20"/>
        </w:numPr>
        <w:tabs>
          <w:tab w:val="clear" w:pos="720"/>
          <w:tab w:val="num" w:pos="1428"/>
          <w:tab w:val="num" w:pos="2844"/>
        </w:tabs>
        <w:spacing w:before="94" w:line="480" w:lineRule="auto"/>
        <w:ind w:left="708" w:firstLine="0"/>
        <w:jc w:val="both"/>
        <w:rPr>
          <w:rFonts w:ascii="Arial" w:hAnsi="Arial" w:cs="Arial"/>
          <w:color w:val="000000"/>
        </w:rPr>
      </w:pPr>
      <w:r>
        <w:rPr>
          <w:rFonts w:ascii="Arial" w:hAnsi="Arial" w:cs="Arial"/>
          <w:b/>
          <w:color w:val="000000"/>
        </w:rPr>
        <w:t>N1:</w:t>
      </w:r>
      <w:r>
        <w:rPr>
          <w:rFonts w:ascii="Arial" w:hAnsi="Arial" w:cs="Arial"/>
          <w:color w:val="000000"/>
        </w:rPr>
        <w:t xml:space="preserve"> Metástasis a los ganglios linfáticos regionales </w:t>
      </w:r>
    </w:p>
    <w:p w:rsidR="00000000" w:rsidRDefault="00BC67ED">
      <w:pPr>
        <w:pStyle w:val="NormalWeb"/>
        <w:tabs>
          <w:tab w:val="num" w:pos="720"/>
        </w:tabs>
        <w:ind w:left="708"/>
        <w:rPr>
          <w:rFonts w:ascii="Arial" w:hAnsi="Arial" w:cs="Arial"/>
          <w:color w:val="000000"/>
        </w:rPr>
      </w:pPr>
      <w:bookmarkStart w:id="2" w:name="Section_20"/>
      <w:bookmarkEnd w:id="2"/>
      <w:r>
        <w:rPr>
          <w:rFonts w:ascii="Arial" w:hAnsi="Arial" w:cs="Arial"/>
          <w:b/>
          <w:bCs/>
          <w:i/>
          <w:iCs/>
        </w:rPr>
        <w:lastRenderedPageBreak/>
        <w:t>Metástasis a distancia (M)</w:t>
      </w:r>
    </w:p>
    <w:p w:rsidR="00000000" w:rsidRDefault="00BC67ED" w:rsidP="00BC67ED">
      <w:pPr>
        <w:numPr>
          <w:ilvl w:val="0"/>
          <w:numId w:val="21"/>
        </w:numPr>
        <w:tabs>
          <w:tab w:val="clear" w:pos="720"/>
          <w:tab w:val="num" w:pos="1428"/>
          <w:tab w:val="num" w:pos="2844"/>
        </w:tabs>
        <w:spacing w:before="94" w:line="600" w:lineRule="auto"/>
        <w:ind w:left="708" w:firstLine="0"/>
        <w:rPr>
          <w:rFonts w:ascii="Arial" w:hAnsi="Arial" w:cs="Arial"/>
          <w:color w:val="000000"/>
        </w:rPr>
      </w:pPr>
      <w:r>
        <w:rPr>
          <w:rFonts w:ascii="Arial" w:hAnsi="Arial" w:cs="Arial"/>
          <w:b/>
          <w:color w:val="000000"/>
        </w:rPr>
        <w:t>MX:</w:t>
      </w:r>
      <w:r>
        <w:rPr>
          <w:rFonts w:ascii="Arial" w:hAnsi="Arial" w:cs="Arial"/>
          <w:color w:val="000000"/>
        </w:rPr>
        <w:t xml:space="preserve"> No puede evaluarse metástasis a distancia </w:t>
      </w:r>
    </w:p>
    <w:p w:rsidR="00000000" w:rsidRDefault="00BC67ED" w:rsidP="00BC67ED">
      <w:pPr>
        <w:numPr>
          <w:ilvl w:val="0"/>
          <w:numId w:val="21"/>
        </w:numPr>
        <w:tabs>
          <w:tab w:val="clear" w:pos="720"/>
          <w:tab w:val="num" w:pos="1428"/>
          <w:tab w:val="num" w:pos="2844"/>
        </w:tabs>
        <w:spacing w:before="94" w:line="600" w:lineRule="auto"/>
        <w:ind w:left="708" w:firstLine="0"/>
        <w:rPr>
          <w:rFonts w:ascii="Arial" w:hAnsi="Arial" w:cs="Arial"/>
          <w:color w:val="000000"/>
        </w:rPr>
      </w:pPr>
      <w:r>
        <w:rPr>
          <w:rFonts w:ascii="Arial" w:hAnsi="Arial" w:cs="Arial"/>
          <w:b/>
          <w:color w:val="000000"/>
        </w:rPr>
        <w:t>M0:</w:t>
      </w:r>
      <w:r>
        <w:rPr>
          <w:rFonts w:ascii="Arial" w:hAnsi="Arial" w:cs="Arial"/>
          <w:color w:val="000000"/>
        </w:rPr>
        <w:t xml:space="preserve"> No hay metástasis a distancia </w:t>
      </w:r>
    </w:p>
    <w:p w:rsidR="00000000" w:rsidRDefault="00BC67ED" w:rsidP="00BC67ED">
      <w:pPr>
        <w:numPr>
          <w:ilvl w:val="0"/>
          <w:numId w:val="21"/>
        </w:numPr>
        <w:tabs>
          <w:tab w:val="clear" w:pos="720"/>
          <w:tab w:val="num" w:pos="1428"/>
          <w:tab w:val="num" w:pos="2844"/>
        </w:tabs>
        <w:spacing w:before="94" w:line="600" w:lineRule="auto"/>
        <w:ind w:left="708" w:firstLine="0"/>
        <w:rPr>
          <w:rFonts w:ascii="Arial" w:hAnsi="Arial" w:cs="Arial"/>
          <w:color w:val="000000"/>
        </w:rPr>
      </w:pPr>
      <w:r>
        <w:rPr>
          <w:rFonts w:ascii="Arial" w:hAnsi="Arial" w:cs="Arial"/>
          <w:b/>
          <w:color w:val="000000"/>
        </w:rPr>
        <w:t>M1:</w:t>
      </w:r>
      <w:r>
        <w:rPr>
          <w:rFonts w:ascii="Arial" w:hAnsi="Arial" w:cs="Arial"/>
          <w:color w:val="000000"/>
        </w:rPr>
        <w:t xml:space="preserve"> Metástasis a </w:t>
      </w:r>
      <w:r>
        <w:rPr>
          <w:rFonts w:ascii="Arial" w:hAnsi="Arial" w:cs="Arial"/>
          <w:color w:val="000000"/>
        </w:rPr>
        <w:t xml:space="preserve">distancia </w:t>
      </w:r>
      <w:bookmarkStart w:id="3" w:name="Section_21"/>
      <w:bookmarkEnd w:id="3"/>
    </w:p>
    <w:p w:rsidR="00000000" w:rsidRDefault="00BC67ED" w:rsidP="00BC67ED">
      <w:pPr>
        <w:numPr>
          <w:ilvl w:val="4"/>
          <w:numId w:val="22"/>
        </w:numPr>
        <w:tabs>
          <w:tab w:val="num" w:pos="1428"/>
        </w:tabs>
        <w:spacing w:before="94" w:line="600" w:lineRule="auto"/>
        <w:ind w:left="708" w:firstLine="0"/>
        <w:rPr>
          <w:rFonts w:ascii="Arial" w:hAnsi="Arial" w:cs="Arial"/>
          <w:color w:val="000000"/>
        </w:rPr>
      </w:pPr>
      <w:r>
        <w:rPr>
          <w:rFonts w:ascii="Arial" w:hAnsi="Arial" w:cs="Arial"/>
          <w:color w:val="000000"/>
        </w:rPr>
        <w:t xml:space="preserve">Tumores del esófago torácico inferior: </w:t>
      </w:r>
      <w:bookmarkStart w:id="4" w:name="Section_22"/>
      <w:bookmarkEnd w:id="4"/>
    </w:p>
    <w:p w:rsidR="00000000" w:rsidRDefault="00BC67ED" w:rsidP="00BC67ED">
      <w:pPr>
        <w:numPr>
          <w:ilvl w:val="6"/>
          <w:numId w:val="24"/>
        </w:numPr>
        <w:tabs>
          <w:tab w:val="clear" w:pos="5040"/>
          <w:tab w:val="num" w:pos="2160"/>
        </w:tabs>
        <w:spacing w:before="94" w:line="360" w:lineRule="auto"/>
        <w:ind w:left="1980"/>
        <w:jc w:val="both"/>
        <w:rPr>
          <w:rFonts w:ascii="Arial" w:hAnsi="Arial" w:cs="Arial"/>
          <w:color w:val="000000"/>
        </w:rPr>
      </w:pPr>
      <w:r>
        <w:rPr>
          <w:rFonts w:ascii="Arial" w:hAnsi="Arial" w:cs="Arial"/>
          <w:color w:val="000000"/>
        </w:rPr>
        <w:t xml:space="preserve">M1a: Metástasis a los ganglios linfáticos celiacos </w:t>
      </w:r>
    </w:p>
    <w:p w:rsidR="00000000" w:rsidRDefault="00BC67ED" w:rsidP="00BC67ED">
      <w:pPr>
        <w:numPr>
          <w:ilvl w:val="6"/>
          <w:numId w:val="24"/>
        </w:numPr>
        <w:tabs>
          <w:tab w:val="clear" w:pos="5040"/>
          <w:tab w:val="num" w:pos="2160"/>
        </w:tabs>
        <w:spacing w:before="94" w:line="600" w:lineRule="auto"/>
        <w:ind w:left="1980"/>
        <w:jc w:val="both"/>
        <w:rPr>
          <w:rFonts w:ascii="Arial" w:hAnsi="Arial" w:cs="Arial"/>
          <w:color w:val="000000"/>
        </w:rPr>
      </w:pPr>
      <w:r>
        <w:rPr>
          <w:rFonts w:ascii="Arial" w:hAnsi="Arial" w:cs="Arial"/>
          <w:color w:val="000000"/>
        </w:rPr>
        <w:t xml:space="preserve">M1b: Otras metástasis distantes </w:t>
      </w:r>
    </w:p>
    <w:p w:rsidR="00000000" w:rsidRDefault="00BC67ED" w:rsidP="00BC67ED">
      <w:pPr>
        <w:numPr>
          <w:ilvl w:val="0"/>
          <w:numId w:val="23"/>
        </w:numPr>
        <w:tabs>
          <w:tab w:val="clear" w:pos="3192"/>
          <w:tab w:val="num" w:pos="1428"/>
          <w:tab w:val="num" w:pos="3600"/>
        </w:tabs>
        <w:spacing w:before="94" w:line="600" w:lineRule="auto"/>
        <w:ind w:left="708" w:firstLine="0"/>
        <w:rPr>
          <w:rFonts w:ascii="Arial" w:hAnsi="Arial" w:cs="Arial"/>
          <w:color w:val="000000"/>
        </w:rPr>
      </w:pPr>
      <w:r>
        <w:rPr>
          <w:rFonts w:ascii="Arial" w:hAnsi="Arial" w:cs="Arial"/>
          <w:color w:val="000000"/>
        </w:rPr>
        <w:t xml:space="preserve">Tumores del esófago torácico medio: </w:t>
      </w:r>
      <w:bookmarkStart w:id="5" w:name="Section_23"/>
      <w:bookmarkEnd w:id="5"/>
    </w:p>
    <w:p w:rsidR="00000000" w:rsidRDefault="00BC67ED" w:rsidP="00BC67ED">
      <w:pPr>
        <w:numPr>
          <w:ilvl w:val="3"/>
          <w:numId w:val="21"/>
        </w:numPr>
        <w:tabs>
          <w:tab w:val="clear" w:pos="2880"/>
          <w:tab w:val="num" w:pos="2160"/>
          <w:tab w:val="num" w:pos="4284"/>
        </w:tabs>
        <w:spacing w:before="94" w:line="600" w:lineRule="auto"/>
        <w:ind w:left="2160" w:hanging="540"/>
        <w:rPr>
          <w:rFonts w:ascii="Arial" w:hAnsi="Arial" w:cs="Arial"/>
          <w:color w:val="000000"/>
        </w:rPr>
      </w:pPr>
      <w:r>
        <w:rPr>
          <w:rFonts w:ascii="Arial" w:hAnsi="Arial" w:cs="Arial"/>
          <w:color w:val="000000"/>
        </w:rPr>
        <w:t xml:space="preserve">M1a: No se aplica </w:t>
      </w:r>
    </w:p>
    <w:p w:rsidR="00000000" w:rsidRDefault="00BC67ED" w:rsidP="00BC67ED">
      <w:pPr>
        <w:numPr>
          <w:ilvl w:val="3"/>
          <w:numId w:val="21"/>
        </w:numPr>
        <w:tabs>
          <w:tab w:val="clear" w:pos="2880"/>
          <w:tab w:val="num" w:pos="2160"/>
          <w:tab w:val="num" w:pos="4284"/>
        </w:tabs>
        <w:spacing w:before="94" w:line="360" w:lineRule="auto"/>
        <w:ind w:left="2160" w:hanging="540"/>
        <w:rPr>
          <w:rFonts w:ascii="Arial" w:hAnsi="Arial" w:cs="Arial"/>
          <w:color w:val="000000"/>
        </w:rPr>
      </w:pPr>
      <w:r>
        <w:rPr>
          <w:rFonts w:ascii="Arial" w:hAnsi="Arial" w:cs="Arial"/>
          <w:color w:val="000000"/>
        </w:rPr>
        <w:t xml:space="preserve">M1b: Metástasis a los ganglios linfáticos no regionales u otras </w:t>
      </w:r>
      <w:r>
        <w:rPr>
          <w:rFonts w:ascii="Arial" w:hAnsi="Arial" w:cs="Arial"/>
          <w:color w:val="000000"/>
        </w:rPr>
        <w:t>metástasis distantes.</w:t>
      </w:r>
    </w:p>
    <w:p w:rsidR="00000000" w:rsidRDefault="00BC67ED" w:rsidP="00BC67ED">
      <w:pPr>
        <w:numPr>
          <w:ilvl w:val="0"/>
          <w:numId w:val="23"/>
        </w:numPr>
        <w:tabs>
          <w:tab w:val="clear" w:pos="3192"/>
          <w:tab w:val="num" w:pos="1428"/>
          <w:tab w:val="num" w:pos="3600"/>
        </w:tabs>
        <w:spacing w:before="94" w:line="600" w:lineRule="auto"/>
        <w:ind w:left="708" w:firstLine="0"/>
        <w:rPr>
          <w:rFonts w:ascii="Arial" w:hAnsi="Arial" w:cs="Arial"/>
          <w:color w:val="000000"/>
        </w:rPr>
      </w:pPr>
      <w:r>
        <w:rPr>
          <w:rFonts w:ascii="Arial" w:hAnsi="Arial" w:cs="Arial"/>
          <w:color w:val="000000"/>
        </w:rPr>
        <w:t xml:space="preserve">Tumores del esófago torácico superior: </w:t>
      </w:r>
      <w:bookmarkStart w:id="6" w:name="Section_25"/>
      <w:bookmarkEnd w:id="6"/>
    </w:p>
    <w:p w:rsidR="00000000" w:rsidRDefault="00BC67ED" w:rsidP="00BC67ED">
      <w:pPr>
        <w:numPr>
          <w:ilvl w:val="6"/>
          <w:numId w:val="25"/>
        </w:numPr>
        <w:tabs>
          <w:tab w:val="clear" w:pos="5040"/>
          <w:tab w:val="num" w:pos="2160"/>
        </w:tabs>
        <w:spacing w:before="94" w:line="360" w:lineRule="auto"/>
        <w:ind w:left="1980"/>
        <w:jc w:val="both"/>
        <w:rPr>
          <w:rFonts w:ascii="Arial" w:hAnsi="Arial" w:cs="Arial"/>
          <w:color w:val="000000"/>
        </w:rPr>
      </w:pPr>
      <w:r>
        <w:rPr>
          <w:rFonts w:ascii="Arial" w:hAnsi="Arial" w:cs="Arial"/>
          <w:color w:val="000000"/>
        </w:rPr>
        <w:t xml:space="preserve">M1a: Metástasis a los ganglios linfáticos cervicales </w:t>
      </w:r>
    </w:p>
    <w:p w:rsidR="00000000" w:rsidRDefault="00BC67ED" w:rsidP="00BC67ED">
      <w:pPr>
        <w:numPr>
          <w:ilvl w:val="6"/>
          <w:numId w:val="25"/>
        </w:numPr>
        <w:tabs>
          <w:tab w:val="clear" w:pos="5040"/>
          <w:tab w:val="num" w:pos="2160"/>
        </w:tabs>
        <w:spacing w:before="94" w:line="600" w:lineRule="auto"/>
        <w:ind w:left="1980"/>
        <w:jc w:val="both"/>
        <w:rPr>
          <w:rFonts w:ascii="Arial" w:hAnsi="Arial" w:cs="Arial"/>
          <w:color w:val="000000"/>
        </w:rPr>
      </w:pPr>
      <w:r>
        <w:rPr>
          <w:rFonts w:ascii="Arial" w:hAnsi="Arial" w:cs="Arial"/>
          <w:color w:val="000000"/>
        </w:rPr>
        <w:t xml:space="preserve">M1b: Otras metástasis a distancia </w:t>
      </w:r>
    </w:p>
    <w:p w:rsidR="00000000" w:rsidRDefault="00BC67ED">
      <w:pPr>
        <w:pStyle w:val="NormalWeb"/>
        <w:tabs>
          <w:tab w:val="num" w:pos="720"/>
        </w:tabs>
        <w:spacing w:line="600" w:lineRule="auto"/>
        <w:ind w:left="708"/>
        <w:jc w:val="both"/>
        <w:rPr>
          <w:rFonts w:ascii="Arial" w:hAnsi="Arial" w:cs="Arial"/>
          <w:color w:val="000000"/>
        </w:rPr>
      </w:pPr>
      <w:r>
        <w:rPr>
          <w:rFonts w:ascii="Arial" w:hAnsi="Arial" w:cs="Arial"/>
        </w:rPr>
        <w:t xml:space="preserve">Para tumores del esófago torácico medio, úsese solamente M1b, ya que estos tumores con metástasis en los </w:t>
      </w:r>
      <w:r>
        <w:rPr>
          <w:rFonts w:ascii="Arial" w:hAnsi="Arial" w:cs="Arial"/>
        </w:rPr>
        <w:t xml:space="preserve">ganglios linfáticos no regionales tienen un pronóstico tan precario como aquellos con metástasis en otros lugares distantes. </w:t>
      </w: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lang w:val="es-ES"/>
        </w:rPr>
        <w:lastRenderedPageBreak/>
        <w:t>Descripción de las Variables</w:t>
      </w:r>
    </w:p>
    <w:p w:rsidR="00000000" w:rsidRDefault="00BC67ED">
      <w:pPr>
        <w:pStyle w:val="Textoindependiente3"/>
        <w:spacing w:line="480" w:lineRule="auto"/>
        <w:ind w:left="708"/>
        <w:rPr>
          <w:rFonts w:cs="Arial"/>
        </w:rPr>
      </w:pPr>
      <w:r>
        <w:rPr>
          <w:rFonts w:cs="Arial"/>
        </w:rPr>
        <w:t>Para la realización de nuestra investigación se ha considerado a los pacientes del Instituto Oncológi</w:t>
      </w:r>
      <w:r>
        <w:rPr>
          <w:rFonts w:cs="Arial"/>
        </w:rPr>
        <w:t xml:space="preserve">co Nacional “Dr. Juan Tanca Marengo” (SOLCA) como nuestro universo, la población objetivo serán los pacientes del Servicio de Gastroenterología, y la muestra serán aquellos pacientes que se realicen endoscopía digestiva alta que se encuentren entre los 45 </w:t>
      </w:r>
      <w:r>
        <w:rPr>
          <w:rFonts w:cs="Arial"/>
        </w:rPr>
        <w:t xml:space="preserve">y  70 años de ambos sexos, que no presenten sintomatología esofágica, independientemente de que presenten factores de riesgo para el cáncer de esófago como los descritos anteriormente, los cuales serán ponderados para evaluar su significancía  en relación </w:t>
      </w:r>
      <w:r>
        <w:rPr>
          <w:rFonts w:cs="Arial"/>
        </w:rPr>
        <w:t>a otros factores.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En el inicio de nuestra investigación acudimos al Instituto Oncológico Nacional “Dr. Juan Tanca Marengo” de Guayaquil, de donde se hizo la respectiva toma de datos a los pacientes que ingresen al área de Gastroenterología de dicho instit</w:t>
      </w:r>
      <w:r>
        <w:rPr>
          <w:rFonts w:ascii="Arial" w:hAnsi="Arial" w:cs="Arial"/>
        </w:rPr>
        <w:t>uto Oncológico.</w:t>
      </w:r>
    </w:p>
    <w:p w:rsidR="00000000" w:rsidRDefault="00BC67ED">
      <w:pPr>
        <w:spacing w:line="36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La forma de presentación clínica, la evolución y el pronóstico son similares para el adenocarcinoma y el cáncer escamoso de esófago  sin embargo, los factores de riesgo implicados en el desarrollo de uno u otro y las entidades preneoplásic</w:t>
      </w:r>
      <w:r>
        <w:rPr>
          <w:rFonts w:ascii="Arial" w:hAnsi="Arial" w:cs="Arial"/>
        </w:rPr>
        <w:t xml:space="preserve">as no coinciden, por ello, se analizó estas situaciones en los dos tipos de cáncer, en pacientes asintomáticos de este órgano y en aquellos que tienen factores de </w:t>
      </w:r>
      <w:r>
        <w:rPr>
          <w:rFonts w:ascii="Arial" w:hAnsi="Arial" w:cs="Arial"/>
        </w:rPr>
        <w:lastRenderedPageBreak/>
        <w:t>riesgo importante ha tratado de realizar un diagnóstico precoz de esta patología utilizando l</w:t>
      </w:r>
      <w:r>
        <w:rPr>
          <w:rFonts w:ascii="Arial" w:hAnsi="Arial" w:cs="Arial"/>
        </w:rPr>
        <w:t>a endoscopía digestiva alta con cepillados esofágicos enviándolos a estudio citológico. De igual manera estableceremos la relación existente o no del carcinoma epidermoide del esófago con el virus del papiloma humano utilizando solución de ácido acético al</w:t>
      </w:r>
      <w:r>
        <w:rPr>
          <w:rFonts w:ascii="Arial" w:hAnsi="Arial" w:cs="Arial"/>
        </w:rPr>
        <w:t xml:space="preserve"> 3%  y las zonas acetoblancas las cuales serán biopsiadas  y se tendrán en consideración como posibles moradas del Papiloma virus humano.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Para nuestro estudio se realizó un cuestionario para la obtención de la información, la cual nos permitirá detectar d</w:t>
      </w:r>
      <w:r>
        <w:rPr>
          <w:rFonts w:ascii="Arial" w:hAnsi="Arial" w:cs="Arial"/>
        </w:rPr>
        <w:t>e manera temprana cuales son los factores preponderantes que causan esta mortal enfermedad como lo es el cáncer de esófago  y que en nuestro medio, la incidencia del cáncer de esófago no es tan alta siendo la tasa estandarizada en pacientes residentes en G</w:t>
      </w:r>
      <w:r>
        <w:rPr>
          <w:rFonts w:ascii="Arial" w:hAnsi="Arial" w:cs="Arial"/>
        </w:rPr>
        <w:t>uayaquil del 3.3 por 100.000 habitantes.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Los datos fueron recogidos técnicamente ya que se lo hizo en conjunto con profesionales del área médica en especial la valiosa ayuda de un especialista en cáncer que coadyuvaron a establecer las variables de interé</w:t>
      </w:r>
      <w:r>
        <w:rPr>
          <w:rFonts w:ascii="Arial" w:hAnsi="Arial" w:cs="Arial"/>
        </w:rPr>
        <w:t>s que van hacer objeto de este estudio prospectivo.</w:t>
      </w:r>
    </w:p>
    <w:p w:rsidR="00000000" w:rsidRDefault="00BC67ED">
      <w:pPr>
        <w:spacing w:line="480" w:lineRule="auto"/>
        <w:ind w:left="708"/>
        <w:jc w:val="both"/>
        <w:rPr>
          <w:rFonts w:ascii="Arial" w:hAnsi="Arial" w:cs="Arial"/>
        </w:rPr>
      </w:pPr>
    </w:p>
    <w:p w:rsidR="00000000" w:rsidRDefault="00BC67ED">
      <w:pPr>
        <w:pStyle w:val="Textoindependiente3"/>
        <w:spacing w:line="480" w:lineRule="auto"/>
        <w:ind w:left="708"/>
        <w:rPr>
          <w:rFonts w:cs="Arial"/>
        </w:rPr>
      </w:pPr>
      <w:r>
        <w:lastRenderedPageBreak/>
        <w:t>Dichas variables tienen como propósito evaluar un procedimiento para la detección precoz del cáncer de esófago, determinar la frecuencia de la presencia del virus del papiloma en los casos estudiados, va</w:t>
      </w:r>
      <w:r>
        <w:t xml:space="preserve">lidar el procedimiento para ponerlo en práctica en dicho Instituto y </w:t>
      </w:r>
      <w:r>
        <w:rPr>
          <w:rFonts w:cs="Arial"/>
        </w:rPr>
        <w:t>Establecer un punto de referencia para comparar a posteriori los resultados obtenidos en la población muestreada o población general de nuestro estudio versus los diferentes grupos de rie</w:t>
      </w:r>
      <w:r>
        <w:rPr>
          <w:rFonts w:cs="Arial"/>
        </w:rPr>
        <w:t>sgos, o población específica.</w:t>
      </w:r>
    </w:p>
    <w:p w:rsidR="00000000" w:rsidRDefault="00BC67ED">
      <w:pPr>
        <w:pStyle w:val="Textoindependiente3"/>
        <w:spacing w:line="480" w:lineRule="auto"/>
        <w:ind w:left="708"/>
        <w:rPr>
          <w:rFonts w:cs="Arial"/>
        </w:rPr>
      </w:pPr>
      <w:r>
        <w:rPr>
          <w:rFonts w:cs="Arial"/>
        </w:rPr>
        <w:t>Los profesionales en medicina para un mejor resultado del estudio optaron por adherir los siguientes criterios:</w:t>
      </w:r>
    </w:p>
    <w:p w:rsidR="00000000" w:rsidRDefault="00BC67ED">
      <w:pPr>
        <w:pStyle w:val="Textoindependiente3"/>
        <w:spacing w:line="480" w:lineRule="auto"/>
        <w:ind w:left="708"/>
        <w:rPr>
          <w:rFonts w:cs="Arial"/>
        </w:rPr>
      </w:pPr>
    </w:p>
    <w:p w:rsidR="00000000" w:rsidRDefault="00BC67ED">
      <w:pPr>
        <w:pStyle w:val="Textoindependiente3"/>
        <w:spacing w:line="480" w:lineRule="auto"/>
        <w:ind w:left="708"/>
        <w:rPr>
          <w:rFonts w:cs="Arial"/>
          <w:b/>
        </w:rPr>
      </w:pPr>
      <w:r>
        <w:rPr>
          <w:rFonts w:cs="Arial"/>
          <w:b/>
        </w:rPr>
        <w:t xml:space="preserve">CRITERIOS DE INCLUSION. </w:t>
      </w:r>
    </w:p>
    <w:p w:rsidR="00000000" w:rsidRDefault="00BC67ED">
      <w:pPr>
        <w:pStyle w:val="Textoindependiente3"/>
        <w:spacing w:line="480" w:lineRule="auto"/>
        <w:ind w:left="708"/>
        <w:rPr>
          <w:rFonts w:cs="Arial"/>
          <w:b/>
        </w:rPr>
      </w:pPr>
    </w:p>
    <w:p w:rsidR="00000000" w:rsidRDefault="00BC67ED" w:rsidP="00BC67ED">
      <w:pPr>
        <w:pStyle w:val="Textoindependiente3"/>
        <w:numPr>
          <w:ilvl w:val="0"/>
          <w:numId w:val="26"/>
        </w:numPr>
        <w:tabs>
          <w:tab w:val="clear" w:pos="360"/>
          <w:tab w:val="num" w:pos="1068"/>
        </w:tabs>
        <w:spacing w:line="480" w:lineRule="auto"/>
        <w:ind w:left="1068"/>
        <w:rPr>
          <w:rFonts w:cs="Arial"/>
        </w:rPr>
      </w:pPr>
      <w:r>
        <w:rPr>
          <w:rFonts w:cs="Arial"/>
        </w:rPr>
        <w:t>Pacientes de 30 a 70 años sin sintomatología esofágica.</w:t>
      </w:r>
    </w:p>
    <w:p w:rsidR="00000000" w:rsidRDefault="00BC67ED" w:rsidP="00BC67ED">
      <w:pPr>
        <w:pStyle w:val="Textoindependiente3"/>
        <w:numPr>
          <w:ilvl w:val="0"/>
          <w:numId w:val="26"/>
        </w:numPr>
        <w:tabs>
          <w:tab w:val="clear" w:pos="360"/>
          <w:tab w:val="num" w:pos="1068"/>
        </w:tabs>
        <w:spacing w:line="480" w:lineRule="auto"/>
        <w:ind w:left="1068"/>
        <w:rPr>
          <w:rFonts w:cs="Arial"/>
        </w:rPr>
      </w:pPr>
      <w:r>
        <w:rPr>
          <w:rFonts w:cs="Arial"/>
        </w:rPr>
        <w:t>Personas con diagnóstico citoló</w:t>
      </w:r>
      <w:r>
        <w:rPr>
          <w:rFonts w:cs="Arial"/>
        </w:rPr>
        <w:t>gico de Papiloma Virus Humano.</w:t>
      </w:r>
    </w:p>
    <w:p w:rsidR="00000000" w:rsidRDefault="00BC67ED">
      <w:pPr>
        <w:pStyle w:val="Textoindependiente3"/>
        <w:spacing w:line="480" w:lineRule="auto"/>
        <w:ind w:left="708"/>
        <w:rPr>
          <w:rFonts w:cs="Arial"/>
          <w:b/>
        </w:rPr>
      </w:pPr>
    </w:p>
    <w:p w:rsidR="00000000" w:rsidRDefault="00BC67ED">
      <w:pPr>
        <w:pStyle w:val="Textoindependiente3"/>
        <w:spacing w:line="480" w:lineRule="auto"/>
        <w:ind w:left="708"/>
        <w:rPr>
          <w:rFonts w:cs="Arial"/>
          <w:b/>
        </w:rPr>
      </w:pPr>
      <w:r>
        <w:rPr>
          <w:rFonts w:cs="Arial"/>
          <w:b/>
        </w:rPr>
        <w:t>CRITERIOS DE EXCLUSÓN.</w:t>
      </w:r>
    </w:p>
    <w:p w:rsidR="00000000" w:rsidRDefault="00BC67ED" w:rsidP="00BC67ED">
      <w:pPr>
        <w:pStyle w:val="Textoindependiente3"/>
        <w:numPr>
          <w:ilvl w:val="0"/>
          <w:numId w:val="27"/>
        </w:numPr>
        <w:tabs>
          <w:tab w:val="clear" w:pos="2113"/>
          <w:tab w:val="num" w:pos="1199"/>
        </w:tabs>
        <w:spacing w:line="480" w:lineRule="auto"/>
        <w:ind w:left="1199"/>
        <w:rPr>
          <w:rFonts w:cs="Arial"/>
        </w:rPr>
      </w:pPr>
      <w:r>
        <w:rPr>
          <w:rFonts w:cs="Arial"/>
        </w:rPr>
        <w:t>Pacientes con sintomatología esofágica.</w:t>
      </w:r>
    </w:p>
    <w:p w:rsidR="00000000" w:rsidRDefault="00BC67ED" w:rsidP="00BC67ED">
      <w:pPr>
        <w:pStyle w:val="Textoindependiente3"/>
        <w:numPr>
          <w:ilvl w:val="0"/>
          <w:numId w:val="27"/>
        </w:numPr>
        <w:tabs>
          <w:tab w:val="clear" w:pos="2113"/>
          <w:tab w:val="num" w:pos="1199"/>
        </w:tabs>
        <w:spacing w:line="480" w:lineRule="auto"/>
        <w:ind w:left="1199"/>
        <w:rPr>
          <w:rFonts w:cs="Arial"/>
        </w:rPr>
      </w:pPr>
      <w:r>
        <w:rPr>
          <w:rFonts w:cs="Arial"/>
        </w:rPr>
        <w:t>Pacientes con otras patologías esofágicas.</w:t>
      </w:r>
    </w:p>
    <w:p w:rsidR="00000000" w:rsidRDefault="00BC67ED">
      <w:pPr>
        <w:pStyle w:val="Textoindependiente3"/>
        <w:spacing w:line="480" w:lineRule="auto"/>
        <w:ind w:left="708"/>
        <w:rPr>
          <w:rFonts w:cs="Arial"/>
        </w:rPr>
      </w:pPr>
      <w:r>
        <w:rPr>
          <w:rFonts w:cs="Arial"/>
        </w:rPr>
        <w:t xml:space="preserve">Además se han sido considerados materiales y métodos necesarios para el estudio. </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lastRenderedPageBreak/>
        <w:t xml:space="preserve">Luego de un análisis de cuales son </w:t>
      </w:r>
      <w:r>
        <w:rPr>
          <w:rFonts w:ascii="Arial" w:hAnsi="Arial" w:cs="Arial"/>
        </w:rPr>
        <w:t>las variables de interés que deben incluirse en el estudio los especialistas sugirieron las siguientes variables que a continuación van a ser descritas.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 Género del paciente</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w:t>
      </w:r>
      <w:r>
        <w:rPr>
          <w:rFonts w:ascii="Arial" w:hAnsi="Arial" w:cs="Arial"/>
        </w:rPr>
        <w:t>rmación acerca de cual es el sexo del paciente. En la historia clínica de cada paciente se detalla con exactitud si el paciente es de género femenino o masculino.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2: Edad</w:t>
      </w:r>
    </w:p>
    <w:p w:rsidR="00000000" w:rsidRDefault="00BC67ED">
      <w:pPr>
        <w:spacing w:line="480" w:lineRule="auto"/>
        <w:ind w:left="708"/>
        <w:jc w:val="both"/>
        <w:rPr>
          <w:rFonts w:ascii="Arial" w:hAnsi="Arial" w:cs="Arial"/>
        </w:rPr>
      </w:pPr>
      <w:r>
        <w:rPr>
          <w:rFonts w:ascii="Arial" w:hAnsi="Arial" w:cs="Arial"/>
        </w:rPr>
        <w:t xml:space="preserve">La edad es tiempo transcurrido desde el nacimiento de algún ser u objeto </w:t>
      </w:r>
      <w:r>
        <w:rPr>
          <w:rFonts w:ascii="Arial" w:hAnsi="Arial" w:cs="Arial"/>
        </w:rPr>
        <w:t>hasta el momento en que esta variable es medida.</w:t>
      </w:r>
    </w:p>
    <w:p w:rsidR="00000000" w:rsidRDefault="00BC67ED">
      <w:pPr>
        <w:spacing w:line="480" w:lineRule="auto"/>
        <w:ind w:left="708"/>
        <w:jc w:val="both"/>
        <w:rPr>
          <w:rFonts w:ascii="Arial" w:hAnsi="Arial" w:cs="Arial"/>
        </w:rPr>
      </w:pPr>
      <w:r>
        <w:rPr>
          <w:rFonts w:ascii="Arial" w:hAnsi="Arial" w:cs="Arial"/>
        </w:rPr>
        <w:t>Con esta variable buscamos obtener información con respecto a la edad en años que tiene el paciente para poder detectarle precozmente un posible cáncer de esófago.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El riesgo aumenta con la edad; las persona</w:t>
      </w:r>
      <w:r>
        <w:rPr>
          <w:rFonts w:ascii="Arial" w:hAnsi="Arial" w:cs="Arial"/>
        </w:rPr>
        <w:t>s mayores de 60 años ya que corren un mayor riesgo de desarrollar cáncer esofágico.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lastRenderedPageBreak/>
        <w:t>Variable # 3: Tabaco</w:t>
      </w:r>
    </w:p>
    <w:p w:rsidR="00000000" w:rsidRDefault="00BC67ED">
      <w:pPr>
        <w:spacing w:line="480" w:lineRule="auto"/>
        <w:ind w:left="708"/>
        <w:jc w:val="both"/>
        <w:rPr>
          <w:rFonts w:ascii="Arial" w:hAnsi="Arial" w:cs="Arial"/>
        </w:rPr>
      </w:pPr>
      <w:r>
        <w:rPr>
          <w:rFonts w:ascii="Arial" w:hAnsi="Arial" w:cs="Arial"/>
        </w:rPr>
        <w:t xml:space="preserve">Esta variable es de tipo cualitativo, mediante ella obtendremos información acerca del el consumo de tabaco y también determinar con que frecuencia </w:t>
      </w:r>
      <w:r>
        <w:rPr>
          <w:rFonts w:ascii="Arial" w:hAnsi="Arial" w:cs="Arial"/>
        </w:rPr>
        <w:t>se da este consumo.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4: Alcohol</w:t>
      </w:r>
    </w:p>
    <w:p w:rsidR="00000000" w:rsidRDefault="00BC67ED">
      <w:pPr>
        <w:pStyle w:val="Sangradetextonormal"/>
        <w:spacing w:after="0" w:line="480" w:lineRule="auto"/>
        <w:ind w:left="708"/>
        <w:jc w:val="both"/>
        <w:rPr>
          <w:rFonts w:ascii="Arial" w:hAnsi="Arial" w:cs="Arial"/>
        </w:rPr>
      </w:pPr>
      <w:r>
        <w:rPr>
          <w:rFonts w:ascii="Arial" w:hAnsi="Arial" w:cs="Arial"/>
        </w:rPr>
        <w:t xml:space="preserve">Esta variable es de tipo cualitativo, mediante ella obtendremos información acerca del posible consumo crónico de alcohol y que en grandes cantidades es otro riesgo importante de desarrollar cáncer esofágico. </w:t>
      </w:r>
    </w:p>
    <w:p w:rsidR="00000000" w:rsidRDefault="00BC67ED">
      <w:pPr>
        <w:pStyle w:val="Sangradetextonormal"/>
        <w:spacing w:after="0"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w:t>
      </w:r>
      <w:r>
        <w:rPr>
          <w:rFonts w:ascii="Arial" w:hAnsi="Arial" w:cs="Arial"/>
          <w:b/>
          <w:i/>
        </w:rPr>
        <w:t>riable # 5: Dieta dirigida</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 que si el paciente tiene restricciones alimenticias o no y que nos permite saber si tiene una alimentación que no atenten contra su salud.</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w:t>
      </w:r>
      <w:r>
        <w:rPr>
          <w:rFonts w:ascii="Arial" w:hAnsi="Arial" w:cs="Arial"/>
          <w:b/>
          <w:i/>
        </w:rPr>
        <w:t>iable # 6: Estupefacientes</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del consumo de estupefacientes por parte del paciente y que en conjunto con el tabaco y el alcohol pueden afectar al esófago en el futuro causando</w:t>
      </w:r>
      <w:r>
        <w:rPr>
          <w:rFonts w:ascii="Arial" w:hAnsi="Arial" w:cs="Arial"/>
        </w:rPr>
        <w:t xml:space="preserve"> el cáncer esofágico.</w:t>
      </w:r>
    </w:p>
    <w:p w:rsidR="00000000" w:rsidRDefault="00BC67ED">
      <w:pPr>
        <w:spacing w:line="480" w:lineRule="auto"/>
        <w:ind w:left="708"/>
        <w:jc w:val="both"/>
        <w:rPr>
          <w:rFonts w:ascii="Arial" w:hAnsi="Arial" w:cs="Arial"/>
          <w:b/>
          <w:i/>
        </w:rPr>
      </w:pPr>
      <w:r>
        <w:rPr>
          <w:rFonts w:ascii="Arial" w:hAnsi="Arial" w:cs="Arial"/>
          <w:b/>
          <w:i/>
        </w:rPr>
        <w:lastRenderedPageBreak/>
        <w:t>Variable # 7: Obesidad</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 la posible obesidad y que esta condición pueden estar en relación con mayor incidencia de reflujo gastroesofágico en paciente</w:t>
      </w:r>
      <w:r>
        <w:rPr>
          <w:rFonts w:ascii="Arial" w:hAnsi="Arial" w:cs="Arial"/>
        </w:rPr>
        <w:t>s obesos.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8: Hipertensión Controlada</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 que si el paciente  esta en constantes chequeos de su hipertensión y que permite al especialista darse cuenta de cualquie</w:t>
      </w:r>
      <w:r>
        <w:rPr>
          <w:rFonts w:ascii="Arial" w:hAnsi="Arial" w:cs="Arial"/>
        </w:rPr>
        <w:t>r complicación que este causando esa hipertensión.</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9: Alergias</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referente a que si el paciente padece de alergias y la determinación de alergias puede ayudarnos a determ</w:t>
      </w:r>
      <w:r>
        <w:rPr>
          <w:rFonts w:ascii="Arial" w:hAnsi="Arial" w:cs="Arial"/>
        </w:rPr>
        <w:t>inar su vulnerabilidad a ciertas medicinas.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10: Ingesta Cáustico</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respecto a la ingestión de irritantes cáusticos como la lejía y otras sustancias pueden causar quemadur</w:t>
      </w:r>
      <w:r>
        <w:rPr>
          <w:rFonts w:ascii="Arial" w:hAnsi="Arial" w:cs="Arial"/>
        </w:rPr>
        <w:t xml:space="preserve">as y destruir las células </w:t>
      </w:r>
      <w:r>
        <w:rPr>
          <w:rFonts w:ascii="Arial" w:hAnsi="Arial" w:cs="Arial"/>
        </w:rPr>
        <w:lastRenderedPageBreak/>
        <w:t>del esófago. Las cicatrices y el daño al esófago pueden hacer que la persona corra un mayor riesgo de desarrollar cáncer.</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11: Medicinas</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w:t>
      </w:r>
      <w:r>
        <w:rPr>
          <w:rFonts w:ascii="Arial" w:hAnsi="Arial" w:cs="Arial"/>
        </w:rPr>
        <w:t xml:space="preserve"> de que, si el paciente  ha ingerido fármacos antihipertensivos que inducen la relajación del esfínter esofágico inferior favoreciendo los episodios de reflujo.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12: Esófago de Barret</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w:t>
      </w:r>
      <w:r>
        <w:rPr>
          <w:rFonts w:ascii="Arial" w:hAnsi="Arial" w:cs="Arial"/>
        </w:rPr>
        <w:t>os información sobre la posible existencia de esófago de barret en el paciente y que dicho esófago de barret es la irritación a largo plazo por reflujo, conocida comúnmente como acidez, cambia las células del extremo del esófago, ésta es una condición prec</w:t>
      </w:r>
      <w:r>
        <w:rPr>
          <w:rFonts w:ascii="Arial" w:hAnsi="Arial" w:cs="Arial"/>
        </w:rPr>
        <w:t>ancerosa, que aumenta el riesgo de desarrollar adenocarcinoma del esófago.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13: RGE (Reflujo Gastroesofágico)</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sobre la posible presencia de adenocarcinomas que se desarr</w:t>
      </w:r>
      <w:r>
        <w:rPr>
          <w:rFonts w:ascii="Arial" w:hAnsi="Arial" w:cs="Arial"/>
        </w:rPr>
        <w:t>ollan en relación a la enfermedad por reflujo gastroesofágico y en particular sobre el esófago de barret.</w:t>
      </w:r>
    </w:p>
    <w:p w:rsidR="00000000" w:rsidRDefault="00BC67ED">
      <w:pPr>
        <w:spacing w:line="480" w:lineRule="auto"/>
        <w:ind w:left="708"/>
        <w:jc w:val="both"/>
        <w:rPr>
          <w:rFonts w:ascii="Arial" w:hAnsi="Arial" w:cs="Arial"/>
          <w:b/>
          <w:i/>
        </w:rPr>
      </w:pPr>
      <w:r>
        <w:rPr>
          <w:rFonts w:ascii="Arial" w:hAnsi="Arial" w:cs="Arial"/>
          <w:b/>
          <w:i/>
        </w:rPr>
        <w:lastRenderedPageBreak/>
        <w:t>Variable # 14: Acalasia</w:t>
      </w:r>
    </w:p>
    <w:p w:rsidR="00000000" w:rsidRDefault="00BC67ED">
      <w:pPr>
        <w:spacing w:line="480" w:lineRule="auto"/>
        <w:ind w:left="708"/>
        <w:jc w:val="both"/>
        <w:rPr>
          <w:rFonts w:ascii="Arial" w:hAnsi="Arial" w:cs="Arial"/>
        </w:rPr>
      </w:pPr>
      <w:r>
        <w:rPr>
          <w:rFonts w:ascii="Arial" w:hAnsi="Arial" w:cs="Arial"/>
        </w:rPr>
        <w:t xml:space="preserve">Esta variable es de tipo cualitativo, mediante ella obtendremos información acerca de la presencia de la acalasia, enfermedad </w:t>
      </w:r>
      <w:r>
        <w:rPr>
          <w:rFonts w:ascii="Arial" w:hAnsi="Arial" w:cs="Arial"/>
        </w:rPr>
        <w:t>en la cual el fondo del esófago no se abre para descargar los alimentos en el estómago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15: Enfermedades Venéreas</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 la presencia o no de enfermedades venéreas qu</w:t>
      </w:r>
      <w:r>
        <w:rPr>
          <w:rFonts w:ascii="Arial" w:hAnsi="Arial" w:cs="Arial"/>
        </w:rPr>
        <w:t>e pueden incidir en un posible cáncer  de Esófago.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16: Cirugías</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en referencia de posibles intervenciones quirúrgicas que hayan podido lesionar de manera superficial o d</w:t>
      </w:r>
      <w:r>
        <w:rPr>
          <w:rFonts w:ascii="Arial" w:hAnsi="Arial" w:cs="Arial"/>
        </w:rPr>
        <w:t>rástica el esófago.</w:t>
      </w:r>
    </w:p>
    <w:p w:rsidR="00000000" w:rsidRDefault="00BC67ED">
      <w:pPr>
        <w:spacing w:line="480" w:lineRule="auto"/>
        <w:ind w:left="708"/>
        <w:jc w:val="both"/>
        <w:rPr>
          <w:rFonts w:ascii="Arial" w:hAnsi="Arial" w:cs="Arial"/>
        </w:rPr>
      </w:pPr>
      <w:r>
        <w:rPr>
          <w:rFonts w:ascii="Arial" w:hAnsi="Arial" w:cs="Arial"/>
        </w:rPr>
        <w:t xml:space="preserve">  </w:t>
      </w:r>
    </w:p>
    <w:p w:rsidR="00000000" w:rsidRDefault="00BC67ED">
      <w:pPr>
        <w:spacing w:line="480" w:lineRule="auto"/>
        <w:ind w:left="708"/>
        <w:jc w:val="both"/>
        <w:rPr>
          <w:rFonts w:ascii="Arial" w:hAnsi="Arial" w:cs="Arial"/>
          <w:b/>
          <w:i/>
        </w:rPr>
      </w:pPr>
      <w:r>
        <w:rPr>
          <w:rFonts w:ascii="Arial" w:hAnsi="Arial" w:cs="Arial"/>
          <w:b/>
          <w:i/>
        </w:rPr>
        <w:t>Variable # 17: Cáncer Epidermoide</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 que si el paciente ha padecido cáncer en la laringe y que sería una variable confirmatoria del posible cáncer eso</w:t>
      </w:r>
      <w:r>
        <w:rPr>
          <w:rFonts w:ascii="Arial" w:hAnsi="Arial" w:cs="Arial"/>
        </w:rPr>
        <w:t>fágico.</w:t>
      </w:r>
    </w:p>
    <w:p w:rsidR="00000000" w:rsidRDefault="00BC67ED">
      <w:pPr>
        <w:spacing w:line="480" w:lineRule="auto"/>
        <w:ind w:left="708"/>
        <w:jc w:val="both"/>
        <w:rPr>
          <w:rFonts w:ascii="Arial" w:hAnsi="Arial" w:cs="Arial"/>
          <w:lang w:val="es-ES"/>
        </w:rPr>
      </w:pPr>
    </w:p>
    <w:p w:rsidR="00000000" w:rsidRDefault="00BC67ED">
      <w:pPr>
        <w:spacing w:line="480" w:lineRule="auto"/>
        <w:ind w:left="708"/>
        <w:jc w:val="both"/>
        <w:rPr>
          <w:rFonts w:ascii="Arial" w:hAnsi="Arial" w:cs="Arial"/>
          <w:b/>
          <w:i/>
        </w:rPr>
      </w:pPr>
      <w:r>
        <w:rPr>
          <w:rFonts w:ascii="Arial" w:hAnsi="Arial" w:cs="Arial"/>
          <w:b/>
          <w:i/>
        </w:rPr>
        <w:lastRenderedPageBreak/>
        <w:t>Variable # 18: Padre Con Cáncer</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hereditaria del paciente respecto al padre ya que es importante saber si su padre ha padecido de cáncer o no ya que genéticamente están muy</w:t>
      </w:r>
      <w:r>
        <w:rPr>
          <w:rFonts w:ascii="Arial" w:hAnsi="Arial" w:cs="Arial"/>
        </w:rPr>
        <w:t xml:space="preserve"> ligados.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19: Madre con Cáncer</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hereditaria del paciente respecto a la madre ya que es importante saber si su madre ha padecido de cáncer o no ya que genéticamente se en</w:t>
      </w:r>
      <w:r>
        <w:rPr>
          <w:rFonts w:ascii="Arial" w:hAnsi="Arial" w:cs="Arial"/>
        </w:rPr>
        <w:t>cuentran ligados.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20: Hermano con Cáncer</w:t>
      </w:r>
    </w:p>
    <w:p w:rsidR="00000000" w:rsidRDefault="00BC67ED">
      <w:pPr>
        <w:spacing w:line="480" w:lineRule="auto"/>
        <w:ind w:left="708"/>
        <w:jc w:val="both"/>
        <w:rPr>
          <w:rFonts w:ascii="Arial" w:hAnsi="Arial" w:cs="Arial"/>
        </w:rPr>
      </w:pPr>
      <w:r>
        <w:rPr>
          <w:rFonts w:ascii="Arial" w:hAnsi="Arial" w:cs="Arial"/>
        </w:rPr>
        <w:t xml:space="preserve">Esta variable es de tipo cualitativo, mediante ella obtendremos información acerca de la posible presencia o no de cáncer y que pudiera tener cierta relación hereditaria además aumentaría la posibilidad </w:t>
      </w:r>
      <w:r>
        <w:rPr>
          <w:rFonts w:ascii="Arial" w:hAnsi="Arial" w:cs="Arial"/>
        </w:rPr>
        <w:t>de aparición de cáncer en otro miembro familiar.</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21: Endoscopia</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que ayudará a conocer si el paciente se ha sometido a este examen necesario para la detección del cáncer</w:t>
      </w:r>
      <w:r>
        <w:rPr>
          <w:rFonts w:ascii="Arial" w:hAnsi="Arial" w:cs="Arial"/>
        </w:rPr>
        <w:t xml:space="preserve"> esofágico ya que </w:t>
      </w:r>
      <w:r>
        <w:rPr>
          <w:rFonts w:ascii="Arial" w:hAnsi="Arial" w:cs="Arial"/>
        </w:rPr>
        <w:lastRenderedPageBreak/>
        <w:t xml:space="preserve">la </w:t>
      </w:r>
      <w:r>
        <w:rPr>
          <w:rFonts w:ascii="Arial" w:hAnsi="Arial" w:cs="Arial"/>
          <w:bCs/>
        </w:rPr>
        <w:t>endoscopía digestiva alta es un procedimiento por el cual sirve para que mediante la introducción de fibra óptica la exploración de la porción superior del tubo digestivo. En nuestro estudio utilizando este método trataremos de obtener</w:t>
      </w:r>
      <w:r>
        <w:rPr>
          <w:rFonts w:ascii="Arial" w:hAnsi="Arial" w:cs="Arial"/>
          <w:bCs/>
        </w:rPr>
        <w:t xml:space="preserve"> resultados para el diagnóstico precoz del cáncer del esófago.</w:t>
      </w:r>
    </w:p>
    <w:p w:rsidR="00000000" w:rsidRDefault="00BC67ED">
      <w:pPr>
        <w:spacing w:line="480" w:lineRule="auto"/>
        <w:ind w:left="708"/>
        <w:jc w:val="both"/>
        <w:rPr>
          <w:rFonts w:ascii="Verdana" w:hAnsi="Verdana"/>
          <w:bCs/>
          <w:sz w:val="22"/>
        </w:rPr>
      </w:pPr>
    </w:p>
    <w:p w:rsidR="00000000" w:rsidRDefault="00BC67ED">
      <w:pPr>
        <w:spacing w:line="480" w:lineRule="auto"/>
        <w:ind w:left="708"/>
        <w:jc w:val="both"/>
        <w:rPr>
          <w:rFonts w:ascii="Arial" w:hAnsi="Arial" w:cs="Arial"/>
          <w:b/>
          <w:i/>
        </w:rPr>
      </w:pPr>
      <w:r>
        <w:rPr>
          <w:rFonts w:ascii="Arial" w:hAnsi="Arial" w:cs="Arial"/>
          <w:b/>
          <w:i/>
        </w:rPr>
        <w:t>Variable # 22: Citología</w:t>
      </w:r>
    </w:p>
    <w:p w:rsidR="00000000" w:rsidRDefault="00BC67ED">
      <w:pPr>
        <w:spacing w:line="480" w:lineRule="auto"/>
        <w:ind w:left="708"/>
        <w:jc w:val="both"/>
        <w:rPr>
          <w:rFonts w:ascii="Arial" w:hAnsi="Arial" w:cs="Arial"/>
        </w:rPr>
      </w:pPr>
      <w:r>
        <w:rPr>
          <w:rFonts w:ascii="Arial" w:hAnsi="Arial" w:cs="Arial"/>
        </w:rPr>
        <w:t>Esta variable es de tipo cualitativo, mediante ella obtendremos información acerca del diagnóstico de hongos y células escamosas además de bacterias cocoides  que pued</w:t>
      </w:r>
      <w:r>
        <w:rPr>
          <w:rFonts w:ascii="Arial" w:hAnsi="Arial" w:cs="Arial"/>
        </w:rPr>
        <w:t>a tener el paciente, adicionalmente nos ayuda a saber si es maligno o benigno.</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 xml:space="preserve"> Variable # 23: Histología</w:t>
      </w:r>
    </w:p>
    <w:p w:rsidR="00000000" w:rsidRDefault="00BC67ED">
      <w:pPr>
        <w:pStyle w:val="Sangradetextonormal"/>
        <w:spacing w:after="0" w:line="480" w:lineRule="auto"/>
        <w:ind w:left="708"/>
        <w:jc w:val="both"/>
        <w:rPr>
          <w:rFonts w:ascii="Arial" w:hAnsi="Arial" w:cs="Arial"/>
        </w:rPr>
      </w:pPr>
      <w:r>
        <w:rPr>
          <w:rFonts w:ascii="Arial" w:hAnsi="Arial" w:cs="Arial"/>
        </w:rPr>
        <w:t xml:space="preserve">Esta variable es de tipo cualitativo, mediante ella obtendremos información con respecto a la posible existencia cáncer de la cabeza o del cuello es </w:t>
      </w:r>
      <w:r>
        <w:rPr>
          <w:rFonts w:ascii="Arial" w:hAnsi="Arial" w:cs="Arial"/>
        </w:rPr>
        <w:t xml:space="preserve">decir la existencia de esofagitis crónica, moderada, acentuada y  Esófago de Barret y que nos hace prever que el paciente   tiene más probabilidades de desarrollar un segundo cáncer en esta área, incluyendo el cáncer esofágico. </w:t>
      </w:r>
    </w:p>
    <w:p w:rsidR="00000000" w:rsidRDefault="00BC67ED">
      <w:pPr>
        <w:spacing w:line="480" w:lineRule="auto"/>
        <w:ind w:left="708"/>
        <w:jc w:val="both"/>
        <w:rPr>
          <w:rFonts w:ascii="Arial" w:hAnsi="Arial" w:cs="Arial"/>
          <w:b/>
          <w:i/>
        </w:rPr>
      </w:pPr>
    </w:p>
    <w:p w:rsidR="00000000" w:rsidRDefault="00BC67ED">
      <w:pPr>
        <w:spacing w:line="480" w:lineRule="auto"/>
        <w:ind w:left="708"/>
        <w:jc w:val="both"/>
        <w:rPr>
          <w:rFonts w:ascii="Arial" w:hAnsi="Arial" w:cs="Arial"/>
          <w:b/>
          <w:i/>
        </w:rPr>
      </w:pPr>
    </w:p>
    <w:p w:rsidR="00000000" w:rsidRDefault="00BC67ED">
      <w:pPr>
        <w:spacing w:line="480" w:lineRule="auto"/>
        <w:ind w:left="708"/>
        <w:jc w:val="both"/>
        <w:rPr>
          <w:rFonts w:ascii="Arial" w:hAnsi="Arial" w:cs="Arial"/>
          <w:b/>
          <w:i/>
        </w:rPr>
      </w:pPr>
    </w:p>
    <w:p w:rsidR="00000000" w:rsidRDefault="00BC67ED">
      <w:pPr>
        <w:spacing w:line="480" w:lineRule="auto"/>
        <w:ind w:left="708"/>
        <w:jc w:val="both"/>
        <w:rPr>
          <w:rFonts w:ascii="Arial" w:hAnsi="Arial" w:cs="Arial"/>
          <w:b/>
          <w:i/>
        </w:rPr>
      </w:pPr>
      <w:r>
        <w:rPr>
          <w:rFonts w:ascii="Arial" w:hAnsi="Arial" w:cs="Arial"/>
          <w:b/>
          <w:i/>
        </w:rPr>
        <w:lastRenderedPageBreak/>
        <w:t>Variable # 24: ADK (Aden</w:t>
      </w:r>
      <w:r>
        <w:rPr>
          <w:rFonts w:ascii="Arial" w:hAnsi="Arial" w:cs="Arial"/>
          <w:b/>
          <w:i/>
        </w:rPr>
        <w:t>ocarcinoma)</w:t>
      </w:r>
    </w:p>
    <w:p w:rsidR="00000000" w:rsidRDefault="00BC67ED">
      <w:pPr>
        <w:spacing w:line="480" w:lineRule="auto"/>
        <w:ind w:left="708"/>
        <w:jc w:val="both"/>
        <w:rPr>
          <w:rFonts w:ascii="Arial" w:hAnsi="Arial" w:cs="Arial"/>
        </w:rPr>
      </w:pPr>
      <w:r>
        <w:rPr>
          <w:rFonts w:ascii="Arial" w:hAnsi="Arial" w:cs="Arial"/>
        </w:rPr>
        <w:t xml:space="preserve">Esta variable es de tipo cualitativo, mediante ella obtendremos información respecto a la presencia de ADK en el paciente el cual ya ha desarrollado el cáncer esofágico. </w:t>
      </w:r>
    </w:p>
    <w:p w:rsidR="00000000" w:rsidRDefault="00BC67ED">
      <w:pPr>
        <w:pStyle w:val="NormalWeb"/>
        <w:spacing w:before="0" w:beforeAutospacing="0" w:after="0" w:afterAutospacing="0" w:line="480" w:lineRule="auto"/>
        <w:ind w:left="708"/>
        <w:jc w:val="both"/>
        <w:rPr>
          <w:rFonts w:ascii="Arial" w:hAnsi="Arial" w:cs="Arial"/>
        </w:rPr>
      </w:pPr>
      <w:r>
        <w:rPr>
          <w:rFonts w:ascii="Arial" w:hAnsi="Arial" w:cs="Arial"/>
        </w:rPr>
        <w:t>El</w:t>
      </w:r>
      <w:r>
        <w:rPr>
          <w:rFonts w:ascii="Arial" w:hAnsi="Arial" w:cs="Arial"/>
          <w:b/>
        </w:rPr>
        <w:t xml:space="preserve"> </w:t>
      </w:r>
      <w:r>
        <w:rPr>
          <w:rFonts w:ascii="Arial" w:hAnsi="Arial" w:cs="Arial"/>
        </w:rPr>
        <w:t>adenocarcinoma, se desarrolla en el tejido glandular de la parte infer</w:t>
      </w:r>
      <w:r>
        <w:rPr>
          <w:rFonts w:ascii="Arial" w:hAnsi="Arial" w:cs="Arial"/>
        </w:rPr>
        <w:t>ior del esófago, cerca de la abertura del estómago.</w:t>
      </w:r>
    </w:p>
    <w:p w:rsidR="00000000" w:rsidRDefault="00BC67ED">
      <w:pPr>
        <w:spacing w:line="480" w:lineRule="auto"/>
        <w:ind w:left="1077"/>
        <w:jc w:val="both"/>
        <w:rPr>
          <w:rFonts w:ascii="Arial" w:hAnsi="Arial" w:cs="Arial"/>
          <w:b/>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rPr>
        <w:t>Codificación de las Variables a ser Investigadas</w:t>
      </w:r>
    </w:p>
    <w:p w:rsidR="00000000" w:rsidRDefault="00BC67ED">
      <w:pPr>
        <w:spacing w:line="480" w:lineRule="auto"/>
        <w:ind w:left="708"/>
        <w:jc w:val="both"/>
        <w:rPr>
          <w:rFonts w:ascii="Arial" w:hAnsi="Arial" w:cs="Arial"/>
        </w:rPr>
      </w:pPr>
      <w:r>
        <w:rPr>
          <w:rFonts w:ascii="Arial" w:hAnsi="Arial" w:cs="Arial"/>
        </w:rPr>
        <w:t>Muchas de las variables de las cuales hemos obtenido la mayor parte de las variables son de tipo ordinal, para poder realizar el análisis estadístico debe</w:t>
      </w:r>
      <w:r>
        <w:rPr>
          <w:rFonts w:ascii="Arial" w:hAnsi="Arial" w:cs="Arial"/>
        </w:rPr>
        <w:t>mos codificarlas mediante escalas de Lickert. Para las variables cualitativas no ordinales vamos a utilizar el análisis de correspondencias.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A continuación indicamos la codificación  para las variables cualitativas.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 Género del paciente</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Feme</w:t>
            </w:r>
            <w:r>
              <w:rPr>
                <w:rFonts w:ascii="Arial" w:hAnsi="Arial" w:cs="Arial"/>
              </w:rPr>
              <w:t>nino</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Masculino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lastRenderedPageBreak/>
        <w:t>Variable # 3: Tabaco (</w:t>
      </w:r>
      <w:r>
        <w:rPr>
          <w:rFonts w:ascii="Arial" w:hAnsi="Arial" w:cs="Arial"/>
          <w:i/>
        </w:rPr>
        <w:t>Variable Ordinal</w:t>
      </w:r>
      <w:r>
        <w:rPr>
          <w:rFonts w:ascii="Arial" w:hAnsi="Arial" w:cs="Arial"/>
          <w:b/>
          <w:i/>
        </w:rPr>
        <w:t>)</w:t>
      </w:r>
    </w:p>
    <w:tbl>
      <w:tblPr>
        <w:tblW w:w="0" w:type="auto"/>
        <w:tblInd w:w="891" w:type="dxa"/>
        <w:tblLook w:val="01E0"/>
      </w:tblPr>
      <w:tblGrid>
        <w:gridCol w:w="2258"/>
        <w:gridCol w:w="1918"/>
      </w:tblGrid>
      <w:tr w:rsidR="00000000">
        <w:trPr>
          <w:trHeight w:val="100"/>
        </w:trPr>
        <w:tc>
          <w:tcPr>
            <w:tcW w:w="2258" w:type="dxa"/>
            <w:vAlign w:val="center"/>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2258" w:type="dxa"/>
          </w:tcPr>
          <w:p w:rsidR="00000000" w:rsidRDefault="00BC67ED">
            <w:pPr>
              <w:spacing w:line="480" w:lineRule="auto"/>
              <w:jc w:val="center"/>
              <w:rPr>
                <w:rFonts w:ascii="Arial" w:hAnsi="Arial" w:cs="Arial"/>
              </w:rPr>
            </w:pPr>
            <w:r>
              <w:rPr>
                <w:rFonts w:ascii="Arial" w:hAnsi="Arial" w:cs="Arial"/>
              </w:rPr>
              <w:t>Baja Frecuencia</w:t>
            </w:r>
          </w:p>
        </w:tc>
        <w:tc>
          <w:tcPr>
            <w:tcW w:w="1918" w:type="dxa"/>
          </w:tcPr>
          <w:p w:rsidR="00000000" w:rsidRDefault="00BC67ED">
            <w:pPr>
              <w:spacing w:line="480" w:lineRule="auto"/>
              <w:jc w:val="right"/>
              <w:rPr>
                <w:rFonts w:ascii="Arial" w:hAnsi="Arial" w:cs="Arial"/>
              </w:rPr>
            </w:pPr>
            <w:r>
              <w:rPr>
                <w:rFonts w:ascii="Arial" w:hAnsi="Arial" w:cs="Arial"/>
              </w:rPr>
              <w:t>1</w:t>
            </w:r>
          </w:p>
        </w:tc>
      </w:tr>
      <w:tr w:rsidR="00000000">
        <w:tc>
          <w:tcPr>
            <w:tcW w:w="2258" w:type="dxa"/>
          </w:tcPr>
          <w:p w:rsidR="00000000" w:rsidRDefault="00BC67ED">
            <w:pPr>
              <w:spacing w:line="480" w:lineRule="auto"/>
              <w:jc w:val="center"/>
              <w:rPr>
                <w:rFonts w:ascii="Arial" w:hAnsi="Arial" w:cs="Arial"/>
              </w:rPr>
            </w:pPr>
            <w:r>
              <w:rPr>
                <w:rFonts w:ascii="Arial" w:hAnsi="Arial" w:cs="Arial"/>
              </w:rPr>
              <w:t>Media Frecuencia</w:t>
            </w:r>
          </w:p>
        </w:tc>
        <w:tc>
          <w:tcPr>
            <w:tcW w:w="1918" w:type="dxa"/>
          </w:tcPr>
          <w:p w:rsidR="00000000" w:rsidRDefault="00BC67ED">
            <w:pPr>
              <w:spacing w:line="480" w:lineRule="auto"/>
              <w:jc w:val="right"/>
              <w:rPr>
                <w:rFonts w:ascii="Arial" w:hAnsi="Arial" w:cs="Arial"/>
              </w:rPr>
            </w:pPr>
            <w:r>
              <w:rPr>
                <w:rFonts w:ascii="Arial" w:hAnsi="Arial" w:cs="Arial"/>
              </w:rPr>
              <w:t>2</w:t>
            </w:r>
          </w:p>
        </w:tc>
      </w:tr>
      <w:tr w:rsidR="00000000">
        <w:tc>
          <w:tcPr>
            <w:tcW w:w="2258" w:type="dxa"/>
          </w:tcPr>
          <w:p w:rsidR="00000000" w:rsidRDefault="00BC67ED">
            <w:pPr>
              <w:spacing w:line="480" w:lineRule="auto"/>
              <w:jc w:val="center"/>
              <w:rPr>
                <w:rFonts w:ascii="Arial" w:hAnsi="Arial" w:cs="Arial"/>
              </w:rPr>
            </w:pPr>
            <w:r>
              <w:rPr>
                <w:rFonts w:ascii="Arial" w:hAnsi="Arial" w:cs="Arial"/>
              </w:rPr>
              <w:t>Alta Frecuencia</w:t>
            </w:r>
          </w:p>
        </w:tc>
        <w:tc>
          <w:tcPr>
            <w:tcW w:w="1918" w:type="dxa"/>
          </w:tcPr>
          <w:p w:rsidR="00000000" w:rsidRDefault="00BC67ED">
            <w:pPr>
              <w:spacing w:line="480" w:lineRule="auto"/>
              <w:jc w:val="right"/>
              <w:rPr>
                <w:rFonts w:ascii="Arial" w:hAnsi="Arial" w:cs="Arial"/>
              </w:rPr>
            </w:pPr>
            <w:r>
              <w:rPr>
                <w:rFonts w:ascii="Arial" w:hAnsi="Arial" w:cs="Arial"/>
              </w:rPr>
              <w:t>3</w:t>
            </w:r>
          </w:p>
        </w:tc>
      </w:tr>
      <w:tr w:rsidR="00000000">
        <w:tc>
          <w:tcPr>
            <w:tcW w:w="2258" w:type="dxa"/>
          </w:tcPr>
          <w:p w:rsidR="00000000" w:rsidRDefault="00BC67ED">
            <w:pPr>
              <w:spacing w:line="480" w:lineRule="auto"/>
              <w:jc w:val="center"/>
              <w:rPr>
                <w:rFonts w:ascii="Arial" w:hAnsi="Arial" w:cs="Arial"/>
              </w:rPr>
            </w:pPr>
            <w:r>
              <w:rPr>
                <w:rFonts w:ascii="Arial" w:hAnsi="Arial" w:cs="Arial"/>
              </w:rPr>
              <w:t>Gran Frecuencia</w:t>
            </w:r>
          </w:p>
        </w:tc>
        <w:tc>
          <w:tcPr>
            <w:tcW w:w="1918" w:type="dxa"/>
          </w:tcPr>
          <w:p w:rsidR="00000000" w:rsidRDefault="00BC67ED">
            <w:pPr>
              <w:spacing w:line="480" w:lineRule="auto"/>
              <w:jc w:val="right"/>
              <w:rPr>
                <w:rFonts w:ascii="Arial" w:hAnsi="Arial" w:cs="Arial"/>
              </w:rPr>
            </w:pPr>
            <w:r>
              <w:rPr>
                <w:rFonts w:ascii="Arial" w:hAnsi="Arial" w:cs="Arial"/>
              </w:rPr>
              <w:t>4</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4: Alcohol (</w:t>
      </w:r>
      <w:r>
        <w:rPr>
          <w:rFonts w:ascii="Arial" w:hAnsi="Arial" w:cs="Arial"/>
          <w:i/>
        </w:rPr>
        <w:t>Variable Ordinal</w:t>
      </w:r>
      <w:r>
        <w:rPr>
          <w:rFonts w:ascii="Arial" w:hAnsi="Arial" w:cs="Arial"/>
          <w:b/>
          <w:i/>
        </w:rPr>
        <w:t>)</w:t>
      </w:r>
    </w:p>
    <w:tbl>
      <w:tblPr>
        <w:tblW w:w="0" w:type="auto"/>
        <w:tblInd w:w="891" w:type="dxa"/>
        <w:tblLayout w:type="fixed"/>
        <w:tblLook w:val="01E0"/>
      </w:tblPr>
      <w:tblGrid>
        <w:gridCol w:w="2525"/>
        <w:gridCol w:w="1980"/>
      </w:tblGrid>
      <w:tr w:rsidR="00000000">
        <w:trPr>
          <w:trHeight w:val="100"/>
        </w:trPr>
        <w:tc>
          <w:tcPr>
            <w:tcW w:w="2525" w:type="dxa"/>
          </w:tcPr>
          <w:p w:rsidR="00000000" w:rsidRDefault="00BC67ED">
            <w:pPr>
              <w:spacing w:line="480" w:lineRule="auto"/>
              <w:jc w:val="center"/>
              <w:rPr>
                <w:rFonts w:ascii="Arial" w:hAnsi="Arial" w:cs="Arial"/>
              </w:rPr>
            </w:pPr>
            <w:r>
              <w:rPr>
                <w:rFonts w:ascii="Arial" w:hAnsi="Arial" w:cs="Arial"/>
              </w:rPr>
              <w:t>No</w:t>
            </w:r>
          </w:p>
        </w:tc>
        <w:tc>
          <w:tcPr>
            <w:tcW w:w="1980" w:type="dxa"/>
          </w:tcPr>
          <w:p w:rsidR="00000000" w:rsidRDefault="00BC67ED">
            <w:pPr>
              <w:spacing w:line="480" w:lineRule="auto"/>
              <w:jc w:val="right"/>
              <w:rPr>
                <w:rFonts w:ascii="Arial" w:hAnsi="Arial" w:cs="Arial"/>
              </w:rPr>
            </w:pPr>
            <w:r>
              <w:rPr>
                <w:rFonts w:ascii="Arial" w:hAnsi="Arial" w:cs="Arial"/>
              </w:rPr>
              <w:t>0</w:t>
            </w:r>
          </w:p>
        </w:tc>
      </w:tr>
      <w:tr w:rsidR="00000000">
        <w:tc>
          <w:tcPr>
            <w:tcW w:w="2525" w:type="dxa"/>
          </w:tcPr>
          <w:p w:rsidR="00000000" w:rsidRDefault="00BC67ED">
            <w:pPr>
              <w:spacing w:line="480" w:lineRule="auto"/>
              <w:jc w:val="center"/>
              <w:rPr>
                <w:rFonts w:ascii="Arial" w:hAnsi="Arial" w:cs="Arial"/>
              </w:rPr>
            </w:pPr>
            <w:r>
              <w:rPr>
                <w:rFonts w:ascii="Arial" w:hAnsi="Arial" w:cs="Arial"/>
              </w:rPr>
              <w:t xml:space="preserve"> Consumo Leve </w:t>
            </w:r>
          </w:p>
        </w:tc>
        <w:tc>
          <w:tcPr>
            <w:tcW w:w="1980" w:type="dxa"/>
          </w:tcPr>
          <w:p w:rsidR="00000000" w:rsidRDefault="00BC67ED">
            <w:pPr>
              <w:spacing w:line="480" w:lineRule="auto"/>
              <w:jc w:val="right"/>
              <w:rPr>
                <w:rFonts w:ascii="Arial" w:hAnsi="Arial" w:cs="Arial"/>
              </w:rPr>
            </w:pPr>
            <w:r>
              <w:rPr>
                <w:rFonts w:ascii="Arial" w:hAnsi="Arial" w:cs="Arial"/>
              </w:rPr>
              <w:t>1</w:t>
            </w:r>
          </w:p>
        </w:tc>
      </w:tr>
      <w:tr w:rsidR="00000000">
        <w:tc>
          <w:tcPr>
            <w:tcW w:w="2525" w:type="dxa"/>
          </w:tcPr>
          <w:p w:rsidR="00000000" w:rsidRDefault="00BC67ED">
            <w:pPr>
              <w:spacing w:line="480" w:lineRule="auto"/>
              <w:jc w:val="center"/>
              <w:rPr>
                <w:rFonts w:ascii="Arial" w:hAnsi="Arial" w:cs="Arial"/>
              </w:rPr>
            </w:pPr>
            <w:r>
              <w:rPr>
                <w:rFonts w:ascii="Arial" w:hAnsi="Arial" w:cs="Arial"/>
              </w:rPr>
              <w:t>Consumo Moderado</w:t>
            </w:r>
          </w:p>
        </w:tc>
        <w:tc>
          <w:tcPr>
            <w:tcW w:w="1980" w:type="dxa"/>
          </w:tcPr>
          <w:p w:rsidR="00000000" w:rsidRDefault="00BC67ED">
            <w:pPr>
              <w:spacing w:line="480" w:lineRule="auto"/>
              <w:jc w:val="right"/>
              <w:rPr>
                <w:rFonts w:ascii="Arial" w:hAnsi="Arial" w:cs="Arial"/>
              </w:rPr>
            </w:pPr>
            <w:r>
              <w:rPr>
                <w:rFonts w:ascii="Arial" w:hAnsi="Arial" w:cs="Arial"/>
              </w:rPr>
              <w:t>2</w:t>
            </w:r>
          </w:p>
        </w:tc>
      </w:tr>
      <w:tr w:rsidR="00000000">
        <w:tc>
          <w:tcPr>
            <w:tcW w:w="2525" w:type="dxa"/>
          </w:tcPr>
          <w:p w:rsidR="00000000" w:rsidRDefault="00BC67ED">
            <w:pPr>
              <w:spacing w:line="480" w:lineRule="auto"/>
              <w:jc w:val="center"/>
              <w:rPr>
                <w:rFonts w:ascii="Arial" w:hAnsi="Arial" w:cs="Arial"/>
              </w:rPr>
            </w:pPr>
            <w:r>
              <w:rPr>
                <w:rFonts w:ascii="Arial" w:hAnsi="Arial" w:cs="Arial"/>
              </w:rPr>
              <w:t>Consumo Grave</w:t>
            </w:r>
          </w:p>
        </w:tc>
        <w:tc>
          <w:tcPr>
            <w:tcW w:w="1980" w:type="dxa"/>
          </w:tcPr>
          <w:p w:rsidR="00000000" w:rsidRDefault="00BC67ED">
            <w:pPr>
              <w:spacing w:line="480" w:lineRule="auto"/>
              <w:jc w:val="right"/>
              <w:rPr>
                <w:rFonts w:ascii="Arial" w:hAnsi="Arial" w:cs="Arial"/>
              </w:rPr>
            </w:pPr>
            <w:r>
              <w:rPr>
                <w:rFonts w:ascii="Arial" w:hAnsi="Arial" w:cs="Arial"/>
              </w:rPr>
              <w:t>3</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w:t>
      </w:r>
      <w:r>
        <w:rPr>
          <w:rFonts w:ascii="Arial" w:hAnsi="Arial" w:cs="Arial"/>
          <w:b/>
          <w:i/>
        </w:rPr>
        <w:t>able # 5: Dieta dirigida</w:t>
      </w:r>
    </w:p>
    <w:tbl>
      <w:tblPr>
        <w:tblW w:w="0" w:type="auto"/>
        <w:tblInd w:w="891" w:type="dxa"/>
        <w:tblLayout w:type="fixed"/>
        <w:tblLook w:val="01E0"/>
      </w:tblPr>
      <w:tblGrid>
        <w:gridCol w:w="2525"/>
        <w:gridCol w:w="1980"/>
      </w:tblGrid>
      <w:tr w:rsidR="00000000">
        <w:trPr>
          <w:trHeight w:val="100"/>
        </w:trPr>
        <w:tc>
          <w:tcPr>
            <w:tcW w:w="2525" w:type="dxa"/>
          </w:tcPr>
          <w:p w:rsidR="00000000" w:rsidRDefault="00BC67ED">
            <w:pPr>
              <w:spacing w:line="480" w:lineRule="auto"/>
              <w:jc w:val="center"/>
              <w:rPr>
                <w:rFonts w:ascii="Arial" w:hAnsi="Arial" w:cs="Arial"/>
              </w:rPr>
            </w:pPr>
            <w:r>
              <w:rPr>
                <w:rFonts w:ascii="Arial" w:hAnsi="Arial" w:cs="Arial"/>
              </w:rPr>
              <w:t>No</w:t>
            </w:r>
          </w:p>
        </w:tc>
        <w:tc>
          <w:tcPr>
            <w:tcW w:w="1980" w:type="dxa"/>
          </w:tcPr>
          <w:p w:rsidR="00000000" w:rsidRDefault="00BC67ED">
            <w:pPr>
              <w:spacing w:line="480" w:lineRule="auto"/>
              <w:jc w:val="right"/>
              <w:rPr>
                <w:rFonts w:ascii="Arial" w:hAnsi="Arial" w:cs="Arial"/>
              </w:rPr>
            </w:pPr>
            <w:r>
              <w:rPr>
                <w:rFonts w:ascii="Arial" w:hAnsi="Arial" w:cs="Arial"/>
              </w:rPr>
              <w:t>0</w:t>
            </w:r>
          </w:p>
        </w:tc>
      </w:tr>
      <w:tr w:rsidR="00000000">
        <w:tc>
          <w:tcPr>
            <w:tcW w:w="2525" w:type="dxa"/>
          </w:tcPr>
          <w:p w:rsidR="00000000" w:rsidRDefault="00BC67ED">
            <w:pPr>
              <w:spacing w:line="480" w:lineRule="auto"/>
              <w:jc w:val="center"/>
              <w:rPr>
                <w:rFonts w:ascii="Arial" w:hAnsi="Arial" w:cs="Arial"/>
              </w:rPr>
            </w:pPr>
            <w:r>
              <w:rPr>
                <w:rFonts w:ascii="Arial" w:hAnsi="Arial" w:cs="Arial"/>
              </w:rPr>
              <w:t xml:space="preserve">A Veces </w:t>
            </w:r>
          </w:p>
        </w:tc>
        <w:tc>
          <w:tcPr>
            <w:tcW w:w="1980" w:type="dxa"/>
          </w:tcPr>
          <w:p w:rsidR="00000000" w:rsidRDefault="00BC67ED">
            <w:pPr>
              <w:spacing w:line="480" w:lineRule="auto"/>
              <w:jc w:val="right"/>
              <w:rPr>
                <w:rFonts w:ascii="Arial" w:hAnsi="Arial" w:cs="Arial"/>
              </w:rPr>
            </w:pPr>
            <w:r>
              <w:rPr>
                <w:rFonts w:ascii="Arial" w:hAnsi="Arial" w:cs="Arial"/>
              </w:rPr>
              <w:t>1</w:t>
            </w:r>
          </w:p>
        </w:tc>
      </w:tr>
      <w:tr w:rsidR="00000000">
        <w:tc>
          <w:tcPr>
            <w:tcW w:w="2525" w:type="dxa"/>
          </w:tcPr>
          <w:p w:rsidR="00000000" w:rsidRDefault="00BC67ED">
            <w:pPr>
              <w:spacing w:line="480" w:lineRule="auto"/>
              <w:jc w:val="center"/>
              <w:rPr>
                <w:rFonts w:ascii="Arial" w:hAnsi="Arial" w:cs="Arial"/>
              </w:rPr>
            </w:pPr>
            <w:r>
              <w:rPr>
                <w:rFonts w:ascii="Arial" w:hAnsi="Arial" w:cs="Arial"/>
              </w:rPr>
              <w:t>Casi Siempre</w:t>
            </w:r>
          </w:p>
        </w:tc>
        <w:tc>
          <w:tcPr>
            <w:tcW w:w="1980" w:type="dxa"/>
          </w:tcPr>
          <w:p w:rsidR="00000000" w:rsidRDefault="00BC67ED">
            <w:pPr>
              <w:spacing w:line="480" w:lineRule="auto"/>
              <w:jc w:val="right"/>
              <w:rPr>
                <w:rFonts w:ascii="Arial" w:hAnsi="Arial" w:cs="Arial"/>
              </w:rPr>
            </w:pPr>
            <w:r>
              <w:rPr>
                <w:rFonts w:ascii="Arial" w:hAnsi="Arial" w:cs="Arial"/>
              </w:rPr>
              <w:t>2</w:t>
            </w:r>
          </w:p>
        </w:tc>
      </w:tr>
      <w:tr w:rsidR="00000000">
        <w:tc>
          <w:tcPr>
            <w:tcW w:w="2525" w:type="dxa"/>
          </w:tcPr>
          <w:p w:rsidR="00000000" w:rsidRDefault="00BC67ED">
            <w:pPr>
              <w:spacing w:line="480" w:lineRule="auto"/>
              <w:jc w:val="center"/>
              <w:rPr>
                <w:rFonts w:ascii="Arial" w:hAnsi="Arial" w:cs="Arial"/>
              </w:rPr>
            </w:pPr>
            <w:r>
              <w:rPr>
                <w:rFonts w:ascii="Arial" w:hAnsi="Arial" w:cs="Arial"/>
              </w:rPr>
              <w:t>Siempre</w:t>
            </w:r>
          </w:p>
        </w:tc>
        <w:tc>
          <w:tcPr>
            <w:tcW w:w="1980" w:type="dxa"/>
          </w:tcPr>
          <w:p w:rsidR="00000000" w:rsidRDefault="00BC67ED">
            <w:pPr>
              <w:spacing w:line="480" w:lineRule="auto"/>
              <w:jc w:val="right"/>
              <w:rPr>
                <w:rFonts w:ascii="Arial" w:hAnsi="Arial" w:cs="Arial"/>
              </w:rPr>
            </w:pPr>
            <w:r>
              <w:rPr>
                <w:rFonts w:ascii="Arial" w:hAnsi="Arial" w:cs="Arial"/>
              </w:rPr>
              <w:t>3</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lastRenderedPageBreak/>
        <w:t>Variable # 6: Estupefacientes (</w:t>
      </w:r>
      <w:r>
        <w:rPr>
          <w:rFonts w:ascii="Arial" w:hAnsi="Arial" w:cs="Arial"/>
          <w:i/>
        </w:rPr>
        <w:t>Variable Ordinal</w:t>
      </w:r>
      <w:r>
        <w:rPr>
          <w:rFonts w:ascii="Arial" w:hAnsi="Arial" w:cs="Arial"/>
          <w:b/>
          <w:i/>
        </w:rPr>
        <w:t>)</w:t>
      </w:r>
    </w:p>
    <w:tbl>
      <w:tblPr>
        <w:tblW w:w="0" w:type="auto"/>
        <w:tblInd w:w="891" w:type="dxa"/>
        <w:tblLayout w:type="fixed"/>
        <w:tblLook w:val="01E0"/>
      </w:tblPr>
      <w:tblGrid>
        <w:gridCol w:w="2525"/>
        <w:gridCol w:w="1980"/>
      </w:tblGrid>
      <w:tr w:rsidR="00000000">
        <w:trPr>
          <w:trHeight w:val="100"/>
        </w:trPr>
        <w:tc>
          <w:tcPr>
            <w:tcW w:w="2525" w:type="dxa"/>
          </w:tcPr>
          <w:p w:rsidR="00000000" w:rsidRDefault="00BC67ED">
            <w:pPr>
              <w:spacing w:line="480" w:lineRule="auto"/>
              <w:jc w:val="center"/>
              <w:rPr>
                <w:rFonts w:ascii="Arial" w:hAnsi="Arial" w:cs="Arial"/>
              </w:rPr>
            </w:pPr>
            <w:r>
              <w:rPr>
                <w:rFonts w:ascii="Arial" w:hAnsi="Arial" w:cs="Arial"/>
              </w:rPr>
              <w:t>No</w:t>
            </w:r>
          </w:p>
        </w:tc>
        <w:tc>
          <w:tcPr>
            <w:tcW w:w="1980" w:type="dxa"/>
          </w:tcPr>
          <w:p w:rsidR="00000000" w:rsidRDefault="00BC67ED">
            <w:pPr>
              <w:spacing w:line="480" w:lineRule="auto"/>
              <w:jc w:val="right"/>
              <w:rPr>
                <w:rFonts w:ascii="Arial" w:hAnsi="Arial" w:cs="Arial"/>
              </w:rPr>
            </w:pPr>
            <w:r>
              <w:rPr>
                <w:rFonts w:ascii="Arial" w:hAnsi="Arial" w:cs="Arial"/>
              </w:rPr>
              <w:t>0</w:t>
            </w:r>
          </w:p>
        </w:tc>
      </w:tr>
      <w:tr w:rsidR="00000000">
        <w:tc>
          <w:tcPr>
            <w:tcW w:w="2525" w:type="dxa"/>
          </w:tcPr>
          <w:p w:rsidR="00000000" w:rsidRDefault="00BC67ED">
            <w:pPr>
              <w:spacing w:line="480" w:lineRule="auto"/>
              <w:jc w:val="center"/>
              <w:rPr>
                <w:rFonts w:ascii="Arial" w:hAnsi="Arial" w:cs="Arial"/>
              </w:rPr>
            </w:pPr>
            <w:r>
              <w:rPr>
                <w:rFonts w:ascii="Arial" w:hAnsi="Arial" w:cs="Arial"/>
              </w:rPr>
              <w:t xml:space="preserve">A Veces </w:t>
            </w:r>
          </w:p>
        </w:tc>
        <w:tc>
          <w:tcPr>
            <w:tcW w:w="1980" w:type="dxa"/>
          </w:tcPr>
          <w:p w:rsidR="00000000" w:rsidRDefault="00BC67ED">
            <w:pPr>
              <w:spacing w:line="480" w:lineRule="auto"/>
              <w:jc w:val="right"/>
              <w:rPr>
                <w:rFonts w:ascii="Arial" w:hAnsi="Arial" w:cs="Arial"/>
              </w:rPr>
            </w:pPr>
            <w:r>
              <w:rPr>
                <w:rFonts w:ascii="Arial" w:hAnsi="Arial" w:cs="Arial"/>
              </w:rPr>
              <w:t>1</w:t>
            </w:r>
          </w:p>
        </w:tc>
      </w:tr>
      <w:tr w:rsidR="00000000">
        <w:tc>
          <w:tcPr>
            <w:tcW w:w="2525" w:type="dxa"/>
          </w:tcPr>
          <w:p w:rsidR="00000000" w:rsidRDefault="00BC67ED">
            <w:pPr>
              <w:spacing w:line="480" w:lineRule="auto"/>
              <w:jc w:val="center"/>
              <w:rPr>
                <w:rFonts w:ascii="Arial" w:hAnsi="Arial" w:cs="Arial"/>
              </w:rPr>
            </w:pPr>
            <w:r>
              <w:rPr>
                <w:rFonts w:ascii="Arial" w:hAnsi="Arial" w:cs="Arial"/>
              </w:rPr>
              <w:t>Casi Siempre</w:t>
            </w:r>
          </w:p>
        </w:tc>
        <w:tc>
          <w:tcPr>
            <w:tcW w:w="1980" w:type="dxa"/>
          </w:tcPr>
          <w:p w:rsidR="00000000" w:rsidRDefault="00BC67ED">
            <w:pPr>
              <w:spacing w:line="480" w:lineRule="auto"/>
              <w:jc w:val="right"/>
              <w:rPr>
                <w:rFonts w:ascii="Arial" w:hAnsi="Arial" w:cs="Arial"/>
              </w:rPr>
            </w:pPr>
            <w:r>
              <w:rPr>
                <w:rFonts w:ascii="Arial" w:hAnsi="Arial" w:cs="Arial"/>
              </w:rPr>
              <w:t>2</w:t>
            </w:r>
          </w:p>
        </w:tc>
      </w:tr>
      <w:tr w:rsidR="00000000">
        <w:tc>
          <w:tcPr>
            <w:tcW w:w="2525" w:type="dxa"/>
          </w:tcPr>
          <w:p w:rsidR="00000000" w:rsidRDefault="00BC67ED">
            <w:pPr>
              <w:spacing w:line="480" w:lineRule="auto"/>
              <w:jc w:val="center"/>
              <w:rPr>
                <w:rFonts w:ascii="Arial" w:hAnsi="Arial" w:cs="Arial"/>
              </w:rPr>
            </w:pPr>
            <w:r>
              <w:rPr>
                <w:rFonts w:ascii="Arial" w:hAnsi="Arial" w:cs="Arial"/>
              </w:rPr>
              <w:t>Siempre</w:t>
            </w:r>
          </w:p>
        </w:tc>
        <w:tc>
          <w:tcPr>
            <w:tcW w:w="1980" w:type="dxa"/>
          </w:tcPr>
          <w:p w:rsidR="00000000" w:rsidRDefault="00BC67ED">
            <w:pPr>
              <w:spacing w:line="480" w:lineRule="auto"/>
              <w:jc w:val="right"/>
              <w:rPr>
                <w:rFonts w:ascii="Arial" w:hAnsi="Arial" w:cs="Arial"/>
              </w:rPr>
            </w:pPr>
            <w:r>
              <w:rPr>
                <w:rFonts w:ascii="Arial" w:hAnsi="Arial" w:cs="Arial"/>
              </w:rPr>
              <w:t>3</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7: Obesidad</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8: Hipertensión Controlada</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w:t>
      </w:r>
      <w:r>
        <w:rPr>
          <w:rFonts w:ascii="Arial" w:hAnsi="Arial" w:cs="Arial"/>
          <w:b/>
          <w:i/>
        </w:rPr>
        <w:t>riable # 9: Alergias</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10: Ingesta Caústico</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lastRenderedPageBreak/>
        <w:t>Variable # 11: Medicinas</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12: Esófago de Barret</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13: RGE (Reflujo Gastroesofágico)</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14: Acalasia</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15: Enfermedades Venéreas</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16: Cirugías</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b/>
          <w:i/>
        </w:rPr>
      </w:pPr>
      <w:r>
        <w:rPr>
          <w:rFonts w:ascii="Arial" w:hAnsi="Arial" w:cs="Arial"/>
          <w:b/>
          <w:i/>
        </w:rPr>
        <w:lastRenderedPageBreak/>
        <w:t>Variable # 17: Cáncer Epidermoide</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lang w:val="es-ES"/>
        </w:rPr>
      </w:pPr>
    </w:p>
    <w:p w:rsidR="00000000" w:rsidRDefault="00BC67ED">
      <w:pPr>
        <w:spacing w:line="480" w:lineRule="auto"/>
        <w:ind w:left="708"/>
        <w:jc w:val="both"/>
        <w:rPr>
          <w:rFonts w:ascii="Arial" w:hAnsi="Arial" w:cs="Arial"/>
          <w:b/>
          <w:i/>
        </w:rPr>
      </w:pPr>
      <w:r>
        <w:rPr>
          <w:rFonts w:ascii="Arial" w:hAnsi="Arial" w:cs="Arial"/>
          <w:b/>
          <w:i/>
        </w:rPr>
        <w:t>Variable # 18: Padre Con Cáncer</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19: Madre con Cáncer</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20: Hermano con Cánc</w:t>
      </w:r>
      <w:r>
        <w:rPr>
          <w:rFonts w:ascii="Arial" w:hAnsi="Arial" w:cs="Arial"/>
          <w:b/>
          <w:i/>
        </w:rPr>
        <w:t>er</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360" w:lineRule="auto"/>
        <w:ind w:left="708"/>
        <w:jc w:val="both"/>
        <w:rPr>
          <w:rFonts w:ascii="Arial" w:hAnsi="Arial" w:cs="Arial"/>
          <w:b/>
          <w:i/>
        </w:rPr>
      </w:pPr>
      <w:r>
        <w:rPr>
          <w:rFonts w:ascii="Arial" w:hAnsi="Arial" w:cs="Arial"/>
          <w:b/>
          <w:i/>
        </w:rPr>
        <w:t>Variable # 21: Endoscopia</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ind w:left="708"/>
        <w:jc w:val="both"/>
        <w:rPr>
          <w:rFonts w:ascii="Arial" w:hAnsi="Arial" w:cs="Arial"/>
          <w:sz w:val="16"/>
          <w:szCs w:val="16"/>
        </w:rPr>
      </w:pPr>
    </w:p>
    <w:p w:rsidR="00000000" w:rsidRDefault="00BC67ED">
      <w:pPr>
        <w:spacing w:line="480" w:lineRule="auto"/>
        <w:ind w:left="708"/>
        <w:jc w:val="both"/>
        <w:rPr>
          <w:rFonts w:ascii="Arial" w:hAnsi="Arial" w:cs="Arial"/>
          <w:b/>
          <w:i/>
        </w:rPr>
      </w:pPr>
      <w:r>
        <w:rPr>
          <w:rFonts w:ascii="Arial" w:hAnsi="Arial" w:cs="Arial"/>
          <w:b/>
          <w:i/>
        </w:rPr>
        <w:t>Variable # 22: Citología</w:t>
      </w:r>
    </w:p>
    <w:tbl>
      <w:tblPr>
        <w:tblW w:w="0" w:type="auto"/>
        <w:tblInd w:w="891" w:type="dxa"/>
        <w:tblLook w:val="01E0"/>
      </w:tblPr>
      <w:tblGrid>
        <w:gridCol w:w="4596"/>
        <w:gridCol w:w="1918"/>
      </w:tblGrid>
      <w:tr w:rsidR="00000000">
        <w:tc>
          <w:tcPr>
            <w:tcW w:w="4596" w:type="dxa"/>
          </w:tcPr>
          <w:p w:rsidR="00000000" w:rsidRDefault="00BC67ED">
            <w:pPr>
              <w:spacing w:line="480" w:lineRule="auto"/>
              <w:jc w:val="both"/>
              <w:rPr>
                <w:rFonts w:ascii="Arial" w:hAnsi="Arial" w:cs="Arial"/>
              </w:rPr>
            </w:pPr>
            <w:r>
              <w:rPr>
                <w:rFonts w:ascii="Arial" w:hAnsi="Arial" w:cs="Arial"/>
              </w:rPr>
              <w:t>Negativo Para Malignidad</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4596" w:type="dxa"/>
          </w:tcPr>
          <w:p w:rsidR="00000000" w:rsidRDefault="00BC67ED">
            <w:pPr>
              <w:spacing w:line="480" w:lineRule="auto"/>
              <w:jc w:val="both"/>
              <w:rPr>
                <w:rFonts w:ascii="Arial" w:hAnsi="Arial" w:cs="Arial"/>
              </w:rPr>
            </w:pPr>
            <w:r>
              <w:rPr>
                <w:rFonts w:ascii="Arial" w:hAnsi="Arial" w:cs="Arial"/>
              </w:rPr>
              <w:t>Hongos, Bacterias y Células Escamosas</w:t>
            </w:r>
          </w:p>
        </w:tc>
        <w:tc>
          <w:tcPr>
            <w:tcW w:w="1918" w:type="dxa"/>
          </w:tcPr>
          <w:p w:rsidR="00000000" w:rsidRDefault="00BC67ED">
            <w:pPr>
              <w:spacing w:line="480" w:lineRule="auto"/>
              <w:jc w:val="right"/>
              <w:rPr>
                <w:rFonts w:ascii="Arial" w:hAnsi="Arial" w:cs="Arial"/>
              </w:rPr>
            </w:pPr>
            <w:r>
              <w:rPr>
                <w:rFonts w:ascii="Arial" w:hAnsi="Arial" w:cs="Arial"/>
              </w:rPr>
              <w:t>1</w:t>
            </w:r>
          </w:p>
        </w:tc>
      </w:tr>
      <w:tr w:rsidR="00000000">
        <w:tc>
          <w:tcPr>
            <w:tcW w:w="4596" w:type="dxa"/>
          </w:tcPr>
          <w:p w:rsidR="00000000" w:rsidRDefault="00BC67ED">
            <w:pPr>
              <w:spacing w:line="480" w:lineRule="auto"/>
              <w:jc w:val="both"/>
              <w:rPr>
                <w:rFonts w:ascii="Arial" w:hAnsi="Arial" w:cs="Arial"/>
              </w:rPr>
            </w:pPr>
            <w:r>
              <w:rPr>
                <w:rFonts w:ascii="Arial" w:hAnsi="Arial" w:cs="Arial"/>
              </w:rPr>
              <w:t>Positivo para Malignidad</w:t>
            </w:r>
          </w:p>
        </w:tc>
        <w:tc>
          <w:tcPr>
            <w:tcW w:w="1918" w:type="dxa"/>
          </w:tcPr>
          <w:p w:rsidR="00000000" w:rsidRDefault="00BC67ED">
            <w:pPr>
              <w:spacing w:line="480" w:lineRule="auto"/>
              <w:jc w:val="right"/>
              <w:rPr>
                <w:rFonts w:ascii="Arial" w:hAnsi="Arial" w:cs="Arial"/>
              </w:rPr>
            </w:pPr>
            <w:r>
              <w:rPr>
                <w:rFonts w:ascii="Arial" w:hAnsi="Arial" w:cs="Arial"/>
              </w:rPr>
              <w:t>2</w:t>
            </w:r>
          </w:p>
        </w:tc>
      </w:tr>
    </w:tbl>
    <w:p w:rsidR="00000000" w:rsidRDefault="00BC67ED">
      <w:pPr>
        <w:spacing w:line="480" w:lineRule="auto"/>
        <w:ind w:left="708"/>
        <w:jc w:val="both"/>
        <w:rPr>
          <w:rFonts w:ascii="Arial" w:hAnsi="Arial" w:cs="Arial"/>
          <w:b/>
          <w:i/>
        </w:rPr>
      </w:pPr>
      <w:r>
        <w:rPr>
          <w:rFonts w:ascii="Arial" w:hAnsi="Arial" w:cs="Arial"/>
          <w:b/>
          <w:i/>
        </w:rPr>
        <w:lastRenderedPageBreak/>
        <w:t>Variable # 23: Histología (</w:t>
      </w:r>
      <w:r>
        <w:rPr>
          <w:rFonts w:ascii="Arial" w:hAnsi="Arial" w:cs="Arial"/>
          <w:i/>
        </w:rPr>
        <w:t>Variable Ordinal</w:t>
      </w:r>
      <w:r>
        <w:rPr>
          <w:rFonts w:ascii="Arial" w:hAnsi="Arial" w:cs="Arial"/>
          <w:b/>
          <w:i/>
        </w:rPr>
        <w:t>)</w:t>
      </w:r>
    </w:p>
    <w:tbl>
      <w:tblPr>
        <w:tblW w:w="0" w:type="auto"/>
        <w:tblInd w:w="891" w:type="dxa"/>
        <w:tblLook w:val="01E0"/>
      </w:tblPr>
      <w:tblGrid>
        <w:gridCol w:w="3498"/>
        <w:gridCol w:w="1918"/>
      </w:tblGrid>
      <w:tr w:rsidR="00000000">
        <w:trPr>
          <w:trHeight w:val="100"/>
        </w:trPr>
        <w:tc>
          <w:tcPr>
            <w:tcW w:w="3498" w:type="dxa"/>
            <w:vAlign w:val="center"/>
          </w:tcPr>
          <w:p w:rsidR="00000000" w:rsidRDefault="00BC67ED">
            <w:pPr>
              <w:spacing w:line="480" w:lineRule="auto"/>
              <w:jc w:val="both"/>
              <w:rPr>
                <w:rFonts w:ascii="Arial" w:hAnsi="Arial" w:cs="Arial"/>
              </w:rPr>
            </w:pPr>
            <w:r>
              <w:rPr>
                <w:rFonts w:ascii="Arial" w:hAnsi="Arial" w:cs="Arial"/>
              </w:rPr>
              <w:t xml:space="preserve">Esofágitis Crónica </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3498" w:type="dxa"/>
          </w:tcPr>
          <w:p w:rsidR="00000000" w:rsidRDefault="00BC67ED">
            <w:pPr>
              <w:spacing w:line="480" w:lineRule="auto"/>
              <w:jc w:val="both"/>
              <w:rPr>
                <w:rFonts w:ascii="Arial" w:hAnsi="Arial" w:cs="Arial"/>
              </w:rPr>
            </w:pPr>
            <w:r>
              <w:rPr>
                <w:rFonts w:ascii="Arial" w:hAnsi="Arial" w:cs="Arial"/>
              </w:rPr>
              <w:t xml:space="preserve">Esofágitis </w:t>
            </w:r>
            <w:r>
              <w:rPr>
                <w:rFonts w:ascii="Arial" w:hAnsi="Arial" w:cs="Arial"/>
              </w:rPr>
              <w:t>Crónica Leve</w:t>
            </w:r>
          </w:p>
        </w:tc>
        <w:tc>
          <w:tcPr>
            <w:tcW w:w="1918" w:type="dxa"/>
          </w:tcPr>
          <w:p w:rsidR="00000000" w:rsidRDefault="00BC67ED">
            <w:pPr>
              <w:spacing w:line="480" w:lineRule="auto"/>
              <w:jc w:val="right"/>
              <w:rPr>
                <w:rFonts w:ascii="Arial" w:hAnsi="Arial" w:cs="Arial"/>
              </w:rPr>
            </w:pPr>
            <w:r>
              <w:rPr>
                <w:rFonts w:ascii="Arial" w:hAnsi="Arial" w:cs="Arial"/>
              </w:rPr>
              <w:t>1</w:t>
            </w:r>
          </w:p>
        </w:tc>
      </w:tr>
      <w:tr w:rsidR="00000000">
        <w:tc>
          <w:tcPr>
            <w:tcW w:w="3498" w:type="dxa"/>
          </w:tcPr>
          <w:p w:rsidR="00000000" w:rsidRDefault="00BC67ED">
            <w:pPr>
              <w:spacing w:line="480" w:lineRule="auto"/>
              <w:jc w:val="both"/>
              <w:rPr>
                <w:rFonts w:ascii="Arial" w:hAnsi="Arial" w:cs="Arial"/>
              </w:rPr>
            </w:pPr>
            <w:r>
              <w:rPr>
                <w:rFonts w:ascii="Arial" w:hAnsi="Arial" w:cs="Arial"/>
              </w:rPr>
              <w:t>Esofágitis Crónica Severa</w:t>
            </w:r>
          </w:p>
        </w:tc>
        <w:tc>
          <w:tcPr>
            <w:tcW w:w="1918" w:type="dxa"/>
          </w:tcPr>
          <w:p w:rsidR="00000000" w:rsidRDefault="00BC67ED">
            <w:pPr>
              <w:spacing w:line="480" w:lineRule="auto"/>
              <w:jc w:val="right"/>
              <w:rPr>
                <w:rFonts w:ascii="Arial" w:hAnsi="Arial" w:cs="Arial"/>
              </w:rPr>
            </w:pPr>
            <w:r>
              <w:rPr>
                <w:rFonts w:ascii="Arial" w:hAnsi="Arial" w:cs="Arial"/>
              </w:rPr>
              <w:t>2</w:t>
            </w:r>
          </w:p>
        </w:tc>
      </w:tr>
      <w:tr w:rsidR="00000000">
        <w:tc>
          <w:tcPr>
            <w:tcW w:w="3498" w:type="dxa"/>
          </w:tcPr>
          <w:p w:rsidR="00000000" w:rsidRDefault="00BC67ED">
            <w:pPr>
              <w:spacing w:line="480" w:lineRule="auto"/>
              <w:jc w:val="both"/>
              <w:rPr>
                <w:rFonts w:ascii="Arial" w:hAnsi="Arial" w:cs="Arial"/>
              </w:rPr>
            </w:pPr>
            <w:r>
              <w:rPr>
                <w:rFonts w:ascii="Arial" w:hAnsi="Arial" w:cs="Arial"/>
              </w:rPr>
              <w:t>Esofágitis Crónica Acentuada</w:t>
            </w:r>
          </w:p>
        </w:tc>
        <w:tc>
          <w:tcPr>
            <w:tcW w:w="1918" w:type="dxa"/>
          </w:tcPr>
          <w:p w:rsidR="00000000" w:rsidRDefault="00BC67ED">
            <w:pPr>
              <w:spacing w:line="480" w:lineRule="auto"/>
              <w:jc w:val="right"/>
              <w:rPr>
                <w:rFonts w:ascii="Arial" w:hAnsi="Arial" w:cs="Arial"/>
              </w:rPr>
            </w:pPr>
            <w:r>
              <w:rPr>
                <w:rFonts w:ascii="Arial" w:hAnsi="Arial" w:cs="Arial"/>
              </w:rPr>
              <w:t>3</w:t>
            </w:r>
          </w:p>
        </w:tc>
      </w:tr>
      <w:tr w:rsidR="00000000">
        <w:tc>
          <w:tcPr>
            <w:tcW w:w="3498" w:type="dxa"/>
          </w:tcPr>
          <w:p w:rsidR="00000000" w:rsidRDefault="00BC67ED">
            <w:pPr>
              <w:spacing w:line="480" w:lineRule="auto"/>
              <w:jc w:val="both"/>
              <w:rPr>
                <w:rFonts w:ascii="Arial" w:hAnsi="Arial" w:cs="Arial"/>
              </w:rPr>
            </w:pPr>
            <w:r>
              <w:rPr>
                <w:rFonts w:ascii="Arial" w:hAnsi="Arial" w:cs="Arial"/>
              </w:rPr>
              <w:t>Esófago de Barret</w:t>
            </w:r>
          </w:p>
        </w:tc>
        <w:tc>
          <w:tcPr>
            <w:tcW w:w="1918" w:type="dxa"/>
          </w:tcPr>
          <w:p w:rsidR="00000000" w:rsidRDefault="00BC67ED">
            <w:pPr>
              <w:spacing w:line="480" w:lineRule="auto"/>
              <w:jc w:val="right"/>
              <w:rPr>
                <w:rFonts w:ascii="Arial" w:hAnsi="Arial" w:cs="Arial"/>
              </w:rPr>
            </w:pPr>
            <w:r>
              <w:rPr>
                <w:rFonts w:ascii="Arial" w:hAnsi="Arial" w:cs="Arial"/>
              </w:rPr>
              <w:t>4</w:t>
            </w:r>
          </w:p>
        </w:tc>
      </w:tr>
    </w:tbl>
    <w:p w:rsidR="00000000" w:rsidRDefault="00BC67ED">
      <w:pPr>
        <w:pStyle w:val="Sangradetextonormal"/>
        <w:spacing w:after="0" w:line="480" w:lineRule="auto"/>
        <w:ind w:left="708"/>
        <w:jc w:val="both"/>
        <w:rPr>
          <w:rFonts w:ascii="Arial" w:hAnsi="Arial" w:cs="Arial"/>
        </w:rPr>
      </w:pPr>
    </w:p>
    <w:p w:rsidR="00000000" w:rsidRDefault="00BC67ED">
      <w:pPr>
        <w:spacing w:line="480" w:lineRule="auto"/>
        <w:ind w:left="708"/>
        <w:jc w:val="both"/>
        <w:rPr>
          <w:rFonts w:ascii="Arial" w:hAnsi="Arial" w:cs="Arial"/>
          <w:b/>
          <w:i/>
        </w:rPr>
      </w:pPr>
      <w:r>
        <w:rPr>
          <w:rFonts w:ascii="Arial" w:hAnsi="Arial" w:cs="Arial"/>
          <w:b/>
          <w:i/>
        </w:rPr>
        <w:t>Variable # 24: ADK (Adenocarcinoma)</w:t>
      </w:r>
    </w:p>
    <w:tbl>
      <w:tblPr>
        <w:tblW w:w="0" w:type="auto"/>
        <w:tblInd w:w="891" w:type="dxa"/>
        <w:tblLook w:val="01E0"/>
      </w:tblPr>
      <w:tblGrid>
        <w:gridCol w:w="1430"/>
        <w:gridCol w:w="1918"/>
      </w:tblGrid>
      <w:tr w:rsidR="00000000">
        <w:trPr>
          <w:trHeight w:val="100"/>
        </w:trPr>
        <w:tc>
          <w:tcPr>
            <w:tcW w:w="1430" w:type="dxa"/>
            <w:vAlign w:val="center"/>
          </w:tcPr>
          <w:p w:rsidR="00000000" w:rsidRDefault="00BC67ED">
            <w:pPr>
              <w:spacing w:line="480" w:lineRule="auto"/>
              <w:jc w:val="center"/>
              <w:rPr>
                <w:rFonts w:ascii="Arial" w:hAnsi="Arial" w:cs="Arial"/>
              </w:rPr>
            </w:pPr>
            <w:r>
              <w:rPr>
                <w:rFonts w:ascii="Arial" w:hAnsi="Arial" w:cs="Arial"/>
              </w:rPr>
              <w:t>Si</w:t>
            </w:r>
          </w:p>
        </w:tc>
        <w:tc>
          <w:tcPr>
            <w:tcW w:w="1918" w:type="dxa"/>
          </w:tcPr>
          <w:p w:rsidR="00000000" w:rsidRDefault="00BC67ED">
            <w:pPr>
              <w:spacing w:line="480" w:lineRule="auto"/>
              <w:jc w:val="right"/>
              <w:rPr>
                <w:rFonts w:ascii="Arial" w:hAnsi="Arial" w:cs="Arial"/>
              </w:rPr>
            </w:pPr>
            <w:r>
              <w:rPr>
                <w:rFonts w:ascii="Arial" w:hAnsi="Arial" w:cs="Arial"/>
              </w:rPr>
              <w:t>0</w:t>
            </w:r>
          </w:p>
        </w:tc>
      </w:tr>
      <w:tr w:rsidR="00000000">
        <w:tc>
          <w:tcPr>
            <w:tcW w:w="1430" w:type="dxa"/>
          </w:tcPr>
          <w:p w:rsidR="00000000" w:rsidRDefault="00BC67ED">
            <w:pPr>
              <w:spacing w:line="480" w:lineRule="auto"/>
              <w:jc w:val="center"/>
              <w:rPr>
                <w:rFonts w:ascii="Arial" w:hAnsi="Arial" w:cs="Arial"/>
              </w:rPr>
            </w:pPr>
            <w:r>
              <w:rPr>
                <w:rFonts w:ascii="Arial" w:hAnsi="Arial" w:cs="Arial"/>
              </w:rPr>
              <w:t>No</w:t>
            </w:r>
          </w:p>
        </w:tc>
        <w:tc>
          <w:tcPr>
            <w:tcW w:w="1918" w:type="dxa"/>
          </w:tcPr>
          <w:p w:rsidR="00000000" w:rsidRDefault="00BC67ED">
            <w:pPr>
              <w:spacing w:line="480" w:lineRule="auto"/>
              <w:jc w:val="right"/>
              <w:rPr>
                <w:rFonts w:ascii="Arial" w:hAnsi="Arial" w:cs="Arial"/>
              </w:rPr>
            </w:pPr>
            <w:r>
              <w:rPr>
                <w:rFonts w:ascii="Arial" w:hAnsi="Arial" w:cs="Arial"/>
              </w:rPr>
              <w:t>1</w:t>
            </w:r>
          </w:p>
        </w:tc>
      </w:tr>
    </w:tbl>
    <w:p w:rsidR="00000000" w:rsidRDefault="00BC67ED">
      <w:pPr>
        <w:spacing w:line="480" w:lineRule="auto"/>
        <w:jc w:val="both"/>
        <w:rPr>
          <w:rFonts w:ascii="Arial" w:hAnsi="Arial" w:cs="Arial"/>
          <w:b/>
        </w:rPr>
      </w:pPr>
    </w:p>
    <w:p w:rsidR="00000000" w:rsidRDefault="00BC67ED">
      <w:pPr>
        <w:spacing w:line="480" w:lineRule="auto"/>
        <w:jc w:val="both"/>
        <w:rPr>
          <w:rFonts w:ascii="Arial" w:hAnsi="Arial" w:cs="Arial"/>
          <w:b/>
        </w:rPr>
      </w:pPr>
    </w:p>
    <w:p w:rsidR="00000000" w:rsidRDefault="00BC67ED">
      <w:pPr>
        <w:numPr>
          <w:ilvl w:val="1"/>
          <w:numId w:val="1"/>
        </w:numPr>
        <w:tabs>
          <w:tab w:val="num" w:pos="720"/>
        </w:tabs>
        <w:spacing w:line="480" w:lineRule="auto"/>
        <w:ind w:left="0" w:right="641" w:firstLine="0"/>
        <w:jc w:val="both"/>
        <w:rPr>
          <w:rFonts w:ascii="Arial" w:hAnsi="Arial" w:cs="Arial"/>
          <w:b/>
          <w:lang w:val="es-ES"/>
        </w:rPr>
      </w:pPr>
      <w:r>
        <w:rPr>
          <w:rFonts w:ascii="Arial" w:hAnsi="Arial" w:cs="Arial"/>
          <w:b/>
          <w:spacing w:val="20"/>
        </w:rPr>
        <w:t>LA ORGANIZACIÓN DE LOS DATOS</w:t>
      </w:r>
    </w:p>
    <w:p w:rsidR="00000000" w:rsidRDefault="00BC67ED">
      <w:pPr>
        <w:tabs>
          <w:tab w:val="num" w:pos="1080"/>
        </w:tabs>
        <w:spacing w:line="480" w:lineRule="auto"/>
        <w:ind w:right="641"/>
        <w:jc w:val="both"/>
        <w:rPr>
          <w:rFonts w:ascii="Arial" w:hAnsi="Arial" w:cs="Arial"/>
          <w:b/>
          <w:lang w:val="es-ES"/>
        </w:rPr>
      </w:pPr>
    </w:p>
    <w:p w:rsidR="00000000" w:rsidRDefault="00BC67ED">
      <w:pPr>
        <w:numPr>
          <w:ilvl w:val="2"/>
          <w:numId w:val="1"/>
        </w:numPr>
        <w:tabs>
          <w:tab w:val="clear" w:pos="1800"/>
          <w:tab w:val="num" w:pos="1080"/>
        </w:tabs>
        <w:spacing w:line="480" w:lineRule="auto"/>
        <w:ind w:left="540" w:right="641"/>
        <w:jc w:val="both"/>
        <w:rPr>
          <w:rFonts w:ascii="Arial" w:hAnsi="Arial" w:cs="Arial"/>
          <w:b/>
          <w:lang w:val="es-ES"/>
        </w:rPr>
      </w:pPr>
      <w:r>
        <w:rPr>
          <w:rFonts w:ascii="Arial" w:hAnsi="Arial" w:cs="Arial"/>
          <w:b/>
          <w:spacing w:val="20"/>
        </w:rPr>
        <w:t>Matriz de Datos</w:t>
      </w:r>
    </w:p>
    <w:p w:rsidR="00000000" w:rsidRDefault="00BC67ED">
      <w:pPr>
        <w:spacing w:line="480" w:lineRule="auto"/>
        <w:ind w:left="1080"/>
        <w:jc w:val="both"/>
        <w:rPr>
          <w:rFonts w:ascii="Arial" w:hAnsi="Arial" w:cs="Arial"/>
        </w:rPr>
      </w:pPr>
      <w:r>
        <w:rPr>
          <w:rFonts w:ascii="Arial" w:hAnsi="Arial" w:cs="Arial"/>
        </w:rPr>
        <w:t>Se toman p datos de cada uno de los individuos o unidades exp</w:t>
      </w:r>
      <w:r>
        <w:rPr>
          <w:rFonts w:ascii="Arial" w:hAnsi="Arial" w:cs="Arial"/>
        </w:rPr>
        <w:t>erimentales en una muestra, es decir, características que son de interés para el investigador, de esto se origina una matriz de datos. Se usará p para representar la cantidad de variables numéricas de respuesta que se están midiendo u n representará el núm</w:t>
      </w:r>
      <w:r>
        <w:rPr>
          <w:rFonts w:ascii="Arial" w:hAnsi="Arial" w:cs="Arial"/>
        </w:rPr>
        <w:t xml:space="preserve">ero de unidades experimentales sobre las cuales se están midiendo las variables. Usaremos la notación </w:t>
      </w:r>
      <w:r>
        <w:rPr>
          <w:rFonts w:ascii="Arial" w:hAnsi="Arial" w:cs="Arial"/>
          <w:position w:val="-8"/>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3.25pt" o:ole="">
            <v:imagedata r:id="rId12" o:title=""/>
          </v:shape>
          <o:OLEObject Type="Embed" ProgID="Equation.3" ShapeID="_x0000_i1025" DrawAspect="Content" ObjectID="_1307787345" r:id="rId13"/>
        </w:object>
      </w:r>
      <w:r>
        <w:rPr>
          <w:rFonts w:ascii="Arial" w:hAnsi="Arial" w:cs="Arial"/>
        </w:rPr>
        <w:t xml:space="preserve"> para indicar el </w:t>
      </w:r>
      <w:r>
        <w:rPr>
          <w:rFonts w:ascii="Arial" w:hAnsi="Arial" w:cs="Arial"/>
        </w:rPr>
        <w:lastRenderedPageBreak/>
        <w:t>valor particular de la k-ésima variable que es observada en el j-ésimo ítem.</w: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spacing w:line="480" w:lineRule="auto"/>
        <w:ind w:left="1080"/>
        <w:jc w:val="both"/>
        <w:rPr>
          <w:rFonts w:ascii="Arial" w:hAnsi="Arial" w:cs="Arial"/>
        </w:rPr>
      </w:pPr>
      <w:r>
        <w:rPr>
          <w:rFonts w:ascii="Arial" w:hAnsi="Arial" w:cs="Arial"/>
        </w:rPr>
        <w:t xml:space="preserve">Los </w:t>
      </w:r>
      <w:r>
        <w:rPr>
          <w:rFonts w:ascii="Arial" w:hAnsi="Arial" w:cs="Arial"/>
          <w:position w:val="-8"/>
        </w:rPr>
        <w:object w:dxaOrig="320" w:dyaOrig="260">
          <v:shape id="_x0000_i1026" type="#_x0000_t75" style="width:16.15pt;height:13.25pt" o:ole="">
            <v:imagedata r:id="rId12" o:title=""/>
          </v:shape>
          <o:OLEObject Type="Embed" ProgID="Equation.3" ShapeID="_x0000_i1026" DrawAspect="Content" ObjectID="_1307787346" r:id="rId14"/>
        </w:object>
      </w:r>
      <w:r>
        <w:rPr>
          <w:rFonts w:ascii="Arial" w:hAnsi="Arial" w:cs="Arial"/>
        </w:rPr>
        <w:t xml:space="preserve"> se pued</w:t>
      </w:r>
      <w:r>
        <w:rPr>
          <w:rFonts w:ascii="Arial" w:hAnsi="Arial" w:cs="Arial"/>
        </w:rPr>
        <w:t>en disponer en una matriz, llamada matriz de datos.</w: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spacing w:line="480" w:lineRule="auto"/>
        <w:ind w:left="1080" w:firstLine="6"/>
        <w:jc w:val="both"/>
        <w:rPr>
          <w:rFonts w:ascii="Arial" w:hAnsi="Arial" w:cs="Arial"/>
        </w:rPr>
      </w:pPr>
      <w:r>
        <w:rPr>
          <w:rFonts w:ascii="Arial" w:hAnsi="Arial" w:cs="Arial"/>
        </w:rPr>
        <w:t>Se pueden disponer esos datos en un arreglo rectangular, llamado</w:t>
      </w:r>
      <w:r>
        <w:rPr>
          <w:rFonts w:ascii="Arial" w:hAnsi="Arial" w:cs="Arial"/>
          <w:b/>
          <w:position w:val="-4"/>
          <w:sz w:val="20"/>
          <w:szCs w:val="20"/>
        </w:rPr>
        <w:object w:dxaOrig="340" w:dyaOrig="340">
          <v:shape id="_x0000_i1027" type="#_x0000_t75" style="width:17.3pt;height:17.3pt" o:ole="">
            <v:imagedata r:id="rId15" o:title=""/>
          </v:shape>
          <o:OLEObject Type="Embed" ProgID="Equation.3" ShapeID="_x0000_i1027" DrawAspect="Content" ObjectID="_1307787347" r:id="rId16"/>
        </w:object>
      </w:r>
      <w:r>
        <w:rPr>
          <w:rFonts w:ascii="Arial" w:hAnsi="Arial" w:cs="Arial"/>
        </w:rPr>
        <w:t xml:space="preserve">de </w:t>
      </w:r>
      <w:r>
        <w:rPr>
          <w:rFonts w:ascii="Arial" w:hAnsi="Arial" w:cs="Arial"/>
          <w:b/>
          <w:position w:val="-6"/>
        </w:rPr>
        <w:object w:dxaOrig="220" w:dyaOrig="240">
          <v:shape id="_x0000_i1028" type="#_x0000_t75" style="width:10.95pt;height:12.1pt" o:ole="">
            <v:imagedata r:id="rId17" o:title=""/>
          </v:shape>
          <o:OLEObject Type="Embed" ProgID="Equation.3" ShapeID="_x0000_i1028" DrawAspect="Content" ObjectID="_1307787348" r:id="rId18"/>
        </w:object>
      </w:r>
      <w:r>
        <w:rPr>
          <w:rFonts w:ascii="Arial" w:hAnsi="Arial" w:cs="Arial"/>
        </w:rPr>
        <w:t>filas y</w:t>
      </w:r>
      <w:r>
        <w:rPr>
          <w:rFonts w:ascii="Arial" w:hAnsi="Arial" w:cs="Arial"/>
          <w:position w:val="-12"/>
        </w:rPr>
        <w:object w:dxaOrig="260" w:dyaOrig="300">
          <v:shape id="_x0000_i1029" type="#_x0000_t75" style="width:13.25pt;height:15pt" o:ole="">
            <v:imagedata r:id="rId19" o:title=""/>
          </v:shape>
          <o:OLEObject Type="Embed" ProgID="Equation.3" ShapeID="_x0000_i1029" DrawAspect="Content" ObjectID="_1307787349" r:id="rId20"/>
        </w:object>
      </w:r>
      <w:r>
        <w:rPr>
          <w:rFonts w:ascii="Arial" w:hAnsi="Arial" w:cs="Arial"/>
        </w:rPr>
        <w:t>columnas.</w:t>
      </w:r>
    </w:p>
    <w:p w:rsidR="00000000" w:rsidRDefault="00BC67ED">
      <w:pPr>
        <w:ind w:left="1080" w:firstLine="360"/>
        <w:jc w:val="both"/>
        <w:rPr>
          <w:rFonts w:ascii="Arial" w:hAnsi="Arial" w:cs="Arial"/>
        </w:rPr>
      </w:pPr>
    </w:p>
    <w:p w:rsidR="00000000" w:rsidRDefault="00BC67ED">
      <w:pPr>
        <w:ind w:left="1080" w:firstLine="360"/>
        <w:jc w:val="center"/>
        <w:rPr>
          <w:rFonts w:ascii="Arial" w:hAnsi="Arial" w:cs="Arial"/>
        </w:rPr>
      </w:pPr>
      <w:r>
        <w:rPr>
          <w:rFonts w:ascii="Arial" w:hAnsi="Arial" w:cs="Arial"/>
          <w:position w:val="-108"/>
        </w:rPr>
        <w:object w:dxaOrig="3240" w:dyaOrig="2299">
          <v:shape id="_x0000_i1030" type="#_x0000_t75" style="width:161.85pt;height:115.2pt" o:ole="">
            <v:imagedata r:id="rId21" o:title=""/>
          </v:shape>
          <o:OLEObject Type="Embed" ProgID="Equation.3" ShapeID="_x0000_i1030" DrawAspect="Content" ObjectID="_1307787350" r:id="rId22"/>
        </w:object>
      </w:r>
    </w:p>
    <w:p w:rsidR="00000000" w:rsidRDefault="00BC67ED">
      <w:pPr>
        <w:ind w:left="1080" w:firstLine="360"/>
        <w:jc w:val="both"/>
        <w:rPr>
          <w:rFonts w:ascii="Arial" w:hAnsi="Arial" w:cs="Arial"/>
        </w:rPr>
      </w:pPr>
    </w:p>
    <w:p w:rsidR="00000000" w:rsidRDefault="00BC67ED">
      <w:pPr>
        <w:ind w:left="1080" w:firstLine="360"/>
        <w:jc w:val="both"/>
        <w:rPr>
          <w:rFonts w:ascii="Arial" w:hAnsi="Arial" w:cs="Arial"/>
        </w:rPr>
      </w:pPr>
    </w:p>
    <w:p w:rsidR="00000000" w:rsidRDefault="00BC67ED">
      <w:pPr>
        <w:numPr>
          <w:ilvl w:val="2"/>
          <w:numId w:val="1"/>
        </w:numPr>
        <w:tabs>
          <w:tab w:val="clear" w:pos="1800"/>
          <w:tab w:val="num" w:pos="1080"/>
        </w:tabs>
        <w:spacing w:line="480" w:lineRule="auto"/>
        <w:ind w:left="540" w:right="641"/>
        <w:jc w:val="both"/>
        <w:rPr>
          <w:rFonts w:ascii="Arial" w:hAnsi="Arial" w:cs="Arial"/>
          <w:b/>
          <w:lang w:val="es-ES"/>
        </w:rPr>
      </w:pPr>
      <w:r>
        <w:rPr>
          <w:rFonts w:ascii="Arial" w:hAnsi="Arial" w:cs="Arial"/>
          <w:b/>
          <w:spacing w:val="20"/>
        </w:rPr>
        <w:t>Estadística Descriptiv</w:t>
      </w:r>
      <w:r>
        <w:rPr>
          <w:rFonts w:ascii="Arial" w:hAnsi="Arial" w:cs="Arial"/>
          <w:b/>
          <w:spacing w:val="20"/>
        </w:rPr>
        <w:t>a</w:t>
      </w:r>
    </w:p>
    <w:p w:rsidR="00000000" w:rsidRDefault="00BC67ED">
      <w:pPr>
        <w:spacing w:line="480" w:lineRule="auto"/>
        <w:ind w:left="1080"/>
        <w:jc w:val="both"/>
        <w:rPr>
          <w:rFonts w:ascii="Arial" w:hAnsi="Arial" w:cs="Arial"/>
        </w:rPr>
      </w:pPr>
      <w:r>
        <w:rPr>
          <w:rFonts w:ascii="Arial" w:hAnsi="Arial" w:cs="Arial"/>
        </w:rPr>
        <w:t xml:space="preserve">Sea  </w:t>
      </w:r>
      <w:r>
        <w:rPr>
          <w:rFonts w:ascii="Arial" w:hAnsi="Arial" w:cs="Arial"/>
          <w:position w:val="-6"/>
        </w:rPr>
        <w:object w:dxaOrig="340" w:dyaOrig="240">
          <v:shape id="_x0000_i1031" type="#_x0000_t75" style="width:17.3pt;height:12.1pt" o:ole="">
            <v:imagedata r:id="rId23" o:title=""/>
          </v:shape>
          <o:OLEObject Type="Embed" ProgID="Equation.3" ShapeID="_x0000_i1031" DrawAspect="Content" ObjectID="_1307787351" r:id="rId24"/>
        </w:object>
      </w:r>
      <w:r>
        <w:rPr>
          <w:rFonts w:ascii="Arial" w:hAnsi="Arial" w:cs="Arial"/>
        </w:rPr>
        <w:t>,</w:t>
      </w:r>
      <w:r>
        <w:rPr>
          <w:rFonts w:ascii="Arial" w:hAnsi="Arial" w:cs="Arial"/>
          <w:position w:val="-6"/>
        </w:rPr>
        <w:object w:dxaOrig="360" w:dyaOrig="240">
          <v:shape id="_x0000_i1032" type="#_x0000_t75" style="width:17.85pt;height:12.1pt" o:ole="">
            <v:imagedata r:id="rId25" o:title=""/>
          </v:shape>
          <o:OLEObject Type="Embed" ProgID="Equation.3" ShapeID="_x0000_i1032" DrawAspect="Content" ObjectID="_1307787352" r:id="rId26"/>
        </w:object>
      </w:r>
      <w:r>
        <w:rPr>
          <w:rFonts w:ascii="Arial" w:hAnsi="Arial" w:cs="Arial"/>
        </w:rPr>
        <w:t>,….,</w:t>
      </w:r>
      <w:r>
        <w:rPr>
          <w:rFonts w:ascii="Arial" w:hAnsi="Arial" w:cs="Arial"/>
          <w:position w:val="-6"/>
        </w:rPr>
        <w:object w:dxaOrig="340" w:dyaOrig="240">
          <v:shape id="_x0000_i1033" type="#_x0000_t75" style="width:17.3pt;height:12.1pt" o:ole="">
            <v:imagedata r:id="rId27" o:title=""/>
          </v:shape>
          <o:OLEObject Type="Embed" ProgID="Equation.3" ShapeID="_x0000_i1033" DrawAspect="Content" ObjectID="_1307787353" r:id="rId28"/>
        </w:object>
      </w:r>
      <w:r>
        <w:rPr>
          <w:rFonts w:ascii="Arial" w:hAnsi="Arial" w:cs="Arial"/>
        </w:rPr>
        <w:t xml:space="preserve"> son n medidas sobre la primera variable. Entonces el promedio aritmético de esta medida es:</w:t>
      </w:r>
    </w:p>
    <w:p w:rsidR="00000000" w:rsidRDefault="00BC67ED">
      <w:pPr>
        <w:ind w:left="1080"/>
        <w:jc w:val="center"/>
        <w:rPr>
          <w:rFonts w:ascii="Arial" w:hAnsi="Arial" w:cs="Arial"/>
        </w:rPr>
      </w:pPr>
      <w:r>
        <w:rPr>
          <w:rFonts w:ascii="Arial" w:hAnsi="Arial" w:cs="Arial"/>
          <w:position w:val="-24"/>
        </w:rPr>
        <w:object w:dxaOrig="1120" w:dyaOrig="600">
          <v:shape id="_x0000_i1034" type="#_x0000_t75" style="width:91pt;height:48.4pt" o:ole="">
            <v:imagedata r:id="rId29" o:title=""/>
          </v:shape>
          <o:OLEObject Type="Embed" ProgID="Equation.3" ShapeID="_x0000_i1034" DrawAspect="Content" ObjectID="_1307787354" r:id="rId30"/>
        </w:object>
      </w:r>
    </w:p>
    <w:p w:rsidR="00000000" w:rsidRDefault="00BC67ED">
      <w:pPr>
        <w:spacing w:line="480" w:lineRule="auto"/>
        <w:ind w:left="1080"/>
        <w:jc w:val="both"/>
        <w:rPr>
          <w:rFonts w:ascii="Arial" w:hAnsi="Arial" w:cs="Arial"/>
        </w:rPr>
      </w:pPr>
      <w:r>
        <w:rPr>
          <w:rFonts w:ascii="Arial" w:hAnsi="Arial" w:cs="Arial"/>
        </w:rPr>
        <w:t>En general</w:t>
      </w:r>
    </w:p>
    <w:p w:rsidR="00000000" w:rsidRDefault="00BC67ED">
      <w:pPr>
        <w:ind w:left="1080"/>
        <w:jc w:val="center"/>
        <w:rPr>
          <w:rFonts w:ascii="Arial" w:hAnsi="Arial" w:cs="Arial"/>
        </w:rPr>
      </w:pPr>
      <w:r>
        <w:rPr>
          <w:rFonts w:ascii="Arial" w:hAnsi="Arial" w:cs="Arial"/>
          <w:position w:val="-24"/>
        </w:rPr>
        <w:object w:dxaOrig="1140" w:dyaOrig="600">
          <v:shape id="_x0000_i1035" type="#_x0000_t75" style="width:92.15pt;height:48.4pt" o:ole="">
            <v:imagedata r:id="rId31" o:title=""/>
          </v:shape>
          <o:OLEObject Type="Embed" ProgID="Equation.3" ShapeID="_x0000_i1035" DrawAspect="Content" ObjectID="_1307787355" r:id="rId32"/>
        </w:object>
      </w:r>
    </w:p>
    <w:p w:rsidR="00000000" w:rsidRDefault="00BC67ED">
      <w:pPr>
        <w:ind w:left="1080"/>
        <w:jc w:val="both"/>
        <w:rPr>
          <w:rFonts w:ascii="Arial" w:hAnsi="Arial" w:cs="Arial"/>
        </w:rPr>
      </w:pPr>
      <w:r>
        <w:rPr>
          <w:rFonts w:ascii="Arial" w:hAnsi="Arial" w:cs="Arial"/>
          <w:i/>
        </w:rPr>
        <w:t>k</w:t>
      </w:r>
      <w:r>
        <w:rPr>
          <w:rFonts w:ascii="Arial" w:hAnsi="Arial" w:cs="Arial"/>
        </w:rPr>
        <w:t xml:space="preserve"> =1,2,……</w:t>
      </w:r>
      <w:r>
        <w:rPr>
          <w:rFonts w:ascii="Arial" w:hAnsi="Arial" w:cs="Arial"/>
          <w:i/>
        </w:rPr>
        <w:t>p</w:t>
      </w:r>
    </w:p>
    <w:p w:rsidR="00000000" w:rsidRDefault="00BC67ED">
      <w:pPr>
        <w:spacing w:line="480" w:lineRule="auto"/>
        <w:ind w:left="1080"/>
        <w:jc w:val="both"/>
        <w:rPr>
          <w:rFonts w:ascii="Arial" w:hAnsi="Arial" w:cs="Arial"/>
        </w:rPr>
      </w:pPr>
      <w:r>
        <w:rPr>
          <w:rFonts w:ascii="Arial" w:hAnsi="Arial" w:cs="Arial"/>
        </w:rPr>
        <w:lastRenderedPageBreak/>
        <w:t>Una medida d</w:t>
      </w:r>
      <w:r>
        <w:rPr>
          <w:rFonts w:ascii="Arial" w:hAnsi="Arial" w:cs="Arial"/>
        </w:rPr>
        <w:t>e dispersión es provisto por la varianza muestral, definida por n medidas sobre las primeras variables como:</w: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center"/>
        <w:rPr>
          <w:rFonts w:ascii="Arial" w:hAnsi="Arial" w:cs="Arial"/>
        </w:rPr>
      </w:pPr>
      <w:r>
        <w:rPr>
          <w:rFonts w:ascii="Arial" w:hAnsi="Arial" w:cs="Arial"/>
          <w:position w:val="-30"/>
        </w:rPr>
        <w:object w:dxaOrig="2040" w:dyaOrig="760">
          <v:shape id="_x0000_i1036" type="#_x0000_t75" style="width:146.9pt;height:54.7pt" o:ole="">
            <v:imagedata r:id="rId33" o:title=""/>
          </v:shape>
          <o:OLEObject Type="Embed" ProgID="Equation.3" ShapeID="_x0000_i1036" DrawAspect="Content" ObjectID="_1307787356" r:id="rId34"/>
        </w:objec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spacing w:line="480" w:lineRule="auto"/>
        <w:ind w:left="1080"/>
        <w:jc w:val="both"/>
        <w:rPr>
          <w:rFonts w:ascii="Arial" w:hAnsi="Arial" w:cs="Arial"/>
        </w:rPr>
      </w:pPr>
      <w:r>
        <w:rPr>
          <w:rFonts w:ascii="Arial" w:hAnsi="Arial" w:cs="Arial"/>
        </w:rPr>
        <w:t xml:space="preserve">Donde </w:t>
      </w:r>
      <w:r>
        <w:rPr>
          <w:rFonts w:ascii="Arial" w:hAnsi="Arial" w:cs="Arial"/>
          <w:position w:val="-6"/>
        </w:rPr>
        <w:object w:dxaOrig="279" w:dyaOrig="279">
          <v:shape id="_x0000_i1037" type="#_x0000_t75" style="width:13.8pt;height:13.8pt" o:ole="">
            <v:imagedata r:id="rId35" o:title=""/>
          </v:shape>
          <o:OLEObject Type="Embed" ProgID="Equation.3" ShapeID="_x0000_i1037" DrawAspect="Content" ObjectID="_1307787357" r:id="rId36"/>
        </w:object>
      </w:r>
      <w:r>
        <w:rPr>
          <w:rFonts w:ascii="Arial" w:hAnsi="Arial" w:cs="Arial"/>
        </w:rPr>
        <w:t xml:space="preserve"> es la media muestral  de </w:t>
      </w:r>
      <w:r>
        <w:rPr>
          <w:rFonts w:ascii="Arial" w:hAnsi="Arial" w:cs="Arial"/>
          <w:position w:val="-8"/>
        </w:rPr>
        <w:object w:dxaOrig="300" w:dyaOrig="240">
          <v:shape id="_x0000_i1038" type="#_x0000_t75" style="width:19pt;height:15pt" o:ole="">
            <v:imagedata r:id="rId37" o:title=""/>
          </v:shape>
          <o:OLEObject Type="Embed" ProgID="Equation.3" ShapeID="_x0000_i1038" DrawAspect="Content" ObjectID="_1307787358" r:id="rId38"/>
        </w:object>
      </w:r>
      <w:r>
        <w:rPr>
          <w:rFonts w:ascii="Arial" w:hAnsi="Arial" w:cs="Arial"/>
        </w:rPr>
        <w:t xml:space="preserve">. En general para </w:t>
      </w:r>
      <w:r>
        <w:rPr>
          <w:rFonts w:ascii="Arial" w:hAnsi="Arial" w:cs="Arial"/>
          <w:i/>
        </w:rPr>
        <w:t>p</w:t>
      </w:r>
      <w:r>
        <w:rPr>
          <w:rFonts w:ascii="Arial" w:hAnsi="Arial" w:cs="Arial"/>
        </w:rPr>
        <w:t xml:space="preserve"> variables tenemos:</w:t>
      </w:r>
    </w:p>
    <w:p w:rsidR="00000000" w:rsidRDefault="00BC67ED">
      <w:pPr>
        <w:ind w:left="1080"/>
        <w:jc w:val="both"/>
        <w:rPr>
          <w:rFonts w:ascii="Arial" w:hAnsi="Arial" w:cs="Arial"/>
        </w:rPr>
      </w:pPr>
    </w:p>
    <w:p w:rsidR="00000000" w:rsidRDefault="00BC67ED">
      <w:pPr>
        <w:ind w:left="1080"/>
        <w:jc w:val="center"/>
        <w:rPr>
          <w:rFonts w:ascii="Arial" w:hAnsi="Arial" w:cs="Arial"/>
        </w:rPr>
      </w:pPr>
      <w:r>
        <w:rPr>
          <w:rFonts w:ascii="Arial" w:hAnsi="Arial" w:cs="Arial"/>
          <w:position w:val="-30"/>
        </w:rPr>
        <w:object w:dxaOrig="2079" w:dyaOrig="760">
          <v:shape id="_x0000_i1039" type="#_x0000_t75" style="width:149.75pt;height:54.7pt" o:ole="">
            <v:imagedata r:id="rId39" o:title=""/>
          </v:shape>
          <o:OLEObject Type="Embed" ProgID="Equation.3" ShapeID="_x0000_i1039" DrawAspect="Content" ObjectID="_1307787359" r:id="rId40"/>
        </w:object>
      </w:r>
    </w:p>
    <w:p w:rsidR="00000000" w:rsidRDefault="00BC67ED">
      <w:pPr>
        <w:ind w:left="1080"/>
        <w:jc w:val="center"/>
        <w:rPr>
          <w:rFonts w:ascii="Arial" w:hAnsi="Arial" w:cs="Arial"/>
          <w:i/>
        </w:rPr>
      </w:pPr>
      <w:r>
        <w:rPr>
          <w:rFonts w:ascii="Arial" w:hAnsi="Arial" w:cs="Arial"/>
        </w:rPr>
        <w:t xml:space="preserve">Para   </w:t>
      </w:r>
      <w:r>
        <w:rPr>
          <w:rFonts w:ascii="Arial" w:hAnsi="Arial" w:cs="Arial"/>
          <w:i/>
        </w:rPr>
        <w:t>k</w:t>
      </w:r>
      <w:r>
        <w:rPr>
          <w:rFonts w:ascii="Arial" w:hAnsi="Arial" w:cs="Arial"/>
        </w:rPr>
        <w:t xml:space="preserve"> = 1,2,….</w:t>
      </w:r>
      <w:r>
        <w:rPr>
          <w:rFonts w:ascii="Arial" w:hAnsi="Arial" w:cs="Arial"/>
          <w:i/>
        </w:rPr>
        <w:t>p</w:t>
      </w:r>
    </w:p>
    <w:p w:rsidR="00000000" w:rsidRDefault="00BC67ED">
      <w:pPr>
        <w:ind w:left="1080"/>
        <w:jc w:val="both"/>
        <w:rPr>
          <w:rFonts w:ascii="Arial" w:hAnsi="Arial" w:cs="Arial"/>
          <w:i/>
        </w:rPr>
      </w:pPr>
    </w:p>
    <w:p w:rsidR="00000000" w:rsidRDefault="00BC67ED">
      <w:pPr>
        <w:ind w:left="1080"/>
        <w:jc w:val="both"/>
        <w:rPr>
          <w:rFonts w:ascii="Arial" w:hAnsi="Arial" w:cs="Arial"/>
        </w:rPr>
      </w:pPr>
    </w:p>
    <w:p w:rsidR="00000000" w:rsidRDefault="00BC67ED">
      <w:pPr>
        <w:spacing w:line="480" w:lineRule="auto"/>
        <w:ind w:left="1080"/>
        <w:jc w:val="both"/>
        <w:rPr>
          <w:rFonts w:ascii="Arial" w:hAnsi="Arial" w:cs="Arial"/>
        </w:rPr>
      </w:pPr>
      <w:r>
        <w:rPr>
          <w:rFonts w:ascii="Arial" w:hAnsi="Arial" w:cs="Arial"/>
        </w:rPr>
        <w:t>La estadística descriptiva de n observaciones o medidas en p variables aleatorias representada en forma de arreglo tiene la siguiente estructura.</w:t>
      </w:r>
    </w:p>
    <w:p w:rsidR="00000000" w:rsidRDefault="00BC67ED">
      <w:pPr>
        <w:ind w:left="1080"/>
        <w:jc w:val="both"/>
        <w:rPr>
          <w:rFonts w:ascii="Arial" w:hAnsi="Arial" w:cs="Arial"/>
        </w:rPr>
      </w:pPr>
    </w:p>
    <w:p w:rsidR="00000000" w:rsidRDefault="00BC67ED">
      <w:pPr>
        <w:ind w:left="1080"/>
        <w:jc w:val="both"/>
        <w:rPr>
          <w:rFonts w:ascii="Arial" w:hAnsi="Arial" w:cs="Arial"/>
          <w:i/>
        </w:rPr>
      </w:pPr>
      <w:r>
        <w:rPr>
          <w:rFonts w:ascii="Arial" w:hAnsi="Arial" w:cs="Arial"/>
        </w:rPr>
        <w:t>Media Muestral</w:t>
      </w:r>
    </w:p>
    <w:p w:rsidR="00000000" w:rsidRDefault="00BC67ED">
      <w:pPr>
        <w:ind w:left="1080"/>
        <w:jc w:val="both"/>
        <w:rPr>
          <w:rFonts w:ascii="Arial" w:hAnsi="Arial" w:cs="Arial"/>
          <w:i/>
        </w:rPr>
      </w:pPr>
    </w:p>
    <w:p w:rsidR="00000000" w:rsidRDefault="00BC67ED">
      <w:pPr>
        <w:ind w:left="1080"/>
        <w:jc w:val="both"/>
        <w:rPr>
          <w:rFonts w:ascii="Arial" w:hAnsi="Arial" w:cs="Arial"/>
          <w:i/>
        </w:rPr>
      </w:pPr>
    </w:p>
    <w:p w:rsidR="00000000" w:rsidRDefault="00BC67ED">
      <w:pPr>
        <w:ind w:left="1080"/>
        <w:jc w:val="center"/>
        <w:rPr>
          <w:rFonts w:ascii="Arial" w:hAnsi="Arial" w:cs="Arial"/>
        </w:rPr>
      </w:pPr>
      <w:r>
        <w:rPr>
          <w:rFonts w:ascii="Arial" w:hAnsi="Arial" w:cs="Arial"/>
          <w:position w:val="-76"/>
        </w:rPr>
        <w:object w:dxaOrig="1040" w:dyaOrig="1660">
          <v:shape id="_x0000_i1040" type="#_x0000_t75" style="width:51.85pt;height:82.95pt" o:ole="">
            <v:imagedata r:id="rId41" o:title=""/>
          </v:shape>
          <o:OLEObject Type="Embed" ProgID="Equation.3" ShapeID="_x0000_i1040" DrawAspect="Content" ObjectID="_1307787360" r:id="rId42"/>
        </w:object>
      </w:r>
    </w:p>
    <w:p w:rsidR="00000000" w:rsidRDefault="00BC67ED">
      <w:pPr>
        <w:ind w:left="1080"/>
        <w:jc w:val="center"/>
        <w:rPr>
          <w:rFonts w:ascii="Arial" w:hAnsi="Arial" w:cs="Arial"/>
        </w:rPr>
      </w:pP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both"/>
        <w:rPr>
          <w:rFonts w:ascii="Arial" w:hAnsi="Arial" w:cs="Arial"/>
        </w:rPr>
      </w:pPr>
      <w:r>
        <w:rPr>
          <w:rFonts w:ascii="Arial" w:hAnsi="Arial" w:cs="Arial"/>
        </w:rPr>
        <w:lastRenderedPageBreak/>
        <w:t>Varianza y Covarianz</w:t>
      </w:r>
      <w:r>
        <w:rPr>
          <w:rFonts w:ascii="Arial" w:hAnsi="Arial" w:cs="Arial"/>
        </w:rPr>
        <w:t>a Muestral</w: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center"/>
        <w:rPr>
          <w:rFonts w:ascii="Arial" w:hAnsi="Arial" w:cs="Arial"/>
        </w:rPr>
      </w:pPr>
      <w:r>
        <w:rPr>
          <w:rFonts w:ascii="Arial" w:hAnsi="Arial" w:cs="Arial"/>
          <w:position w:val="-76"/>
        </w:rPr>
        <w:object w:dxaOrig="2659" w:dyaOrig="1660">
          <v:shape id="_x0000_i1041" type="#_x0000_t75" style="width:133.05pt;height:82.95pt" o:ole="">
            <v:imagedata r:id="rId43" o:title=""/>
          </v:shape>
          <o:OLEObject Type="Embed" ProgID="Equation.3" ShapeID="_x0000_i1041" DrawAspect="Content" ObjectID="_1307787361" r:id="rId44"/>
        </w:objec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both"/>
        <w:rPr>
          <w:rFonts w:ascii="Arial" w:hAnsi="Arial" w:cs="Arial"/>
        </w:rPr>
      </w:pPr>
      <w:r>
        <w:rPr>
          <w:rFonts w:ascii="Arial" w:hAnsi="Arial" w:cs="Arial"/>
        </w:rPr>
        <w:t>Correlación Muestral</w:t>
      </w:r>
    </w:p>
    <w:p w:rsidR="00000000" w:rsidRDefault="00BC67ED">
      <w:pPr>
        <w:ind w:left="1080"/>
        <w:jc w:val="both"/>
        <w:rPr>
          <w:rFonts w:ascii="Arial" w:hAnsi="Arial" w:cs="Arial"/>
        </w:rPr>
      </w:pPr>
    </w:p>
    <w:p w:rsidR="00000000" w:rsidRDefault="00BC67ED">
      <w:pPr>
        <w:ind w:left="1080"/>
        <w:jc w:val="both"/>
        <w:rPr>
          <w:rFonts w:ascii="Arial" w:hAnsi="Arial" w:cs="Arial"/>
        </w:rPr>
      </w:pPr>
    </w:p>
    <w:p w:rsidR="00000000" w:rsidRDefault="00BC67ED">
      <w:pPr>
        <w:ind w:left="1080"/>
        <w:jc w:val="center"/>
        <w:rPr>
          <w:rFonts w:ascii="Arial" w:hAnsi="Arial" w:cs="Arial"/>
        </w:rPr>
      </w:pPr>
      <w:r>
        <w:rPr>
          <w:rFonts w:ascii="Arial" w:hAnsi="Arial" w:cs="Arial"/>
          <w:position w:val="-76"/>
        </w:rPr>
        <w:object w:dxaOrig="2680" w:dyaOrig="1660">
          <v:shape id="_x0000_i1042" type="#_x0000_t75" style="width:134.2pt;height:82.95pt" o:ole="">
            <v:imagedata r:id="rId45" o:title=""/>
          </v:shape>
          <o:OLEObject Type="Embed" ProgID="Equation.3" ShapeID="_x0000_i1042" DrawAspect="Content" ObjectID="_1307787362" r:id="rId46"/>
        </w:object>
      </w:r>
    </w:p>
    <w:p w:rsidR="00000000" w:rsidRDefault="00BC67ED">
      <w:pPr>
        <w:spacing w:line="480" w:lineRule="auto"/>
        <w:ind w:left="1416" w:right="641"/>
        <w:jc w:val="both"/>
        <w:rPr>
          <w:rFonts w:ascii="Arial" w:hAnsi="Arial" w:cs="Arial"/>
          <w:lang w:val="es-ES"/>
        </w:rPr>
        <w:sectPr w:rsidR="00000000">
          <w:headerReference w:type="default" r:id="rId47"/>
          <w:pgSz w:w="11907" w:h="16840" w:code="9"/>
          <w:pgMar w:top="2268" w:right="1361" w:bottom="2268" w:left="2268" w:header="737" w:footer="851" w:gutter="0"/>
          <w:pgNumType w:start="2"/>
          <w:cols w:space="708"/>
          <w:docGrid w:linePitch="360"/>
        </w:sect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ind w:right="641"/>
        <w:jc w:val="center"/>
        <w:rPr>
          <w:rFonts w:ascii="Arial" w:hAnsi="Arial" w:cs="Arial"/>
          <w:b/>
          <w:lang w:val="es-ES"/>
        </w:rPr>
      </w:pPr>
    </w:p>
    <w:p w:rsidR="00000000" w:rsidRDefault="00BC67ED">
      <w:pPr>
        <w:spacing w:line="480" w:lineRule="auto"/>
        <w:ind w:right="641"/>
        <w:jc w:val="center"/>
        <w:rPr>
          <w:b/>
          <w:sz w:val="48"/>
          <w:szCs w:val="48"/>
          <w:lang w:val="es-ES"/>
        </w:rPr>
      </w:pPr>
      <w:r>
        <w:rPr>
          <w:b/>
          <w:sz w:val="48"/>
          <w:szCs w:val="48"/>
          <w:lang w:val="es-ES"/>
        </w:rPr>
        <w:t>CAPITULO II</w:t>
      </w:r>
    </w:p>
    <w:p w:rsidR="00000000" w:rsidRDefault="00BC67ED">
      <w:pPr>
        <w:ind w:right="641"/>
        <w:jc w:val="center"/>
        <w:rPr>
          <w:b/>
          <w:lang w:val="es-ES"/>
        </w:rPr>
      </w:pPr>
    </w:p>
    <w:p w:rsidR="00000000" w:rsidRDefault="00BC67ED">
      <w:pPr>
        <w:ind w:right="641"/>
        <w:jc w:val="center"/>
        <w:rPr>
          <w:b/>
          <w:lang w:val="es-ES"/>
        </w:rPr>
      </w:pPr>
    </w:p>
    <w:p w:rsidR="00000000" w:rsidRDefault="00BC67ED">
      <w:pPr>
        <w:ind w:right="641"/>
        <w:jc w:val="center"/>
        <w:rPr>
          <w:b/>
          <w:lang w:val="es-ES"/>
        </w:rPr>
      </w:pPr>
    </w:p>
    <w:p w:rsidR="00000000" w:rsidRDefault="00BC67ED" w:rsidP="00BC67ED">
      <w:pPr>
        <w:numPr>
          <w:ilvl w:val="0"/>
          <w:numId w:val="31"/>
        </w:numPr>
        <w:tabs>
          <w:tab w:val="clear" w:pos="1437"/>
          <w:tab w:val="num" w:pos="540"/>
        </w:tabs>
        <w:ind w:left="540" w:hanging="540"/>
        <w:jc w:val="both"/>
        <w:rPr>
          <w:b/>
          <w:bCs/>
          <w:sz w:val="32"/>
          <w:szCs w:val="32"/>
        </w:rPr>
      </w:pPr>
      <w:r>
        <w:rPr>
          <w:b/>
          <w:bCs/>
          <w:caps/>
          <w:sz w:val="32"/>
          <w:szCs w:val="32"/>
        </w:rPr>
        <w:t xml:space="preserve">MARCO TEÓRICO DE LAS TÉCNICAS ESTADISTICAS </w:t>
      </w:r>
    </w:p>
    <w:p w:rsidR="00000000" w:rsidRDefault="00BC67ED">
      <w:pPr>
        <w:ind w:left="1077" w:right="641"/>
        <w:jc w:val="both"/>
        <w:rPr>
          <w:rFonts w:ascii="Arial" w:hAnsi="Arial" w:cs="Arial"/>
          <w:b/>
        </w:rPr>
      </w:pPr>
    </w:p>
    <w:p w:rsidR="00000000" w:rsidRDefault="00BC67ED">
      <w:pPr>
        <w:ind w:left="540"/>
        <w:jc w:val="both"/>
        <w:rPr>
          <w:rFonts w:ascii="Arial" w:hAnsi="Arial" w:cs="Arial"/>
          <w:b/>
        </w:rPr>
      </w:pPr>
    </w:p>
    <w:p w:rsidR="00000000" w:rsidRDefault="00BC67ED" w:rsidP="00BC67ED">
      <w:pPr>
        <w:numPr>
          <w:ilvl w:val="1"/>
          <w:numId w:val="28"/>
        </w:numPr>
        <w:tabs>
          <w:tab w:val="clear" w:pos="1797"/>
          <w:tab w:val="num" w:pos="540"/>
        </w:tabs>
        <w:spacing w:line="480" w:lineRule="auto"/>
        <w:ind w:left="720"/>
        <w:jc w:val="both"/>
        <w:rPr>
          <w:rFonts w:ascii="Arial" w:hAnsi="Arial" w:cs="Arial"/>
          <w:b/>
          <w:caps/>
        </w:rPr>
      </w:pPr>
      <w:r>
        <w:rPr>
          <w:rFonts w:ascii="Arial" w:hAnsi="Arial" w:cs="Arial"/>
          <w:b/>
          <w:caps/>
        </w:rPr>
        <w:t>Técnica Univariada</w:t>
      </w:r>
    </w:p>
    <w:p w:rsidR="00000000" w:rsidRDefault="00BC67ED">
      <w:pPr>
        <w:pStyle w:val="NormalWeb"/>
        <w:spacing w:before="0" w:beforeAutospacing="0" w:after="0" w:afterAutospacing="0" w:line="480" w:lineRule="auto"/>
        <w:ind w:left="540"/>
        <w:jc w:val="both"/>
        <w:rPr>
          <w:rFonts w:ascii="Arial" w:hAnsi="Arial" w:cs="Arial"/>
          <w:bCs/>
        </w:rPr>
      </w:pPr>
      <w:r>
        <w:rPr>
          <w:rFonts w:ascii="Arial" w:hAnsi="Arial" w:cs="Arial"/>
        </w:rPr>
        <w:t xml:space="preserve">El análisis estadístico se divide en dos tipos: </w:t>
      </w:r>
      <w:r>
        <w:rPr>
          <w:rFonts w:ascii="Arial" w:hAnsi="Arial" w:cs="Arial"/>
          <w:bCs/>
        </w:rPr>
        <w:t xml:space="preserve">univariado y multivariado. </w:t>
      </w:r>
      <w:r>
        <w:rPr>
          <w:rFonts w:ascii="Arial" w:hAnsi="Arial" w:cs="Arial"/>
        </w:rPr>
        <w:t xml:space="preserve">En el </w:t>
      </w:r>
      <w:r>
        <w:rPr>
          <w:rFonts w:ascii="Arial" w:hAnsi="Arial" w:cs="Arial"/>
        </w:rPr>
        <w:t xml:space="preserve">análisis univariado se describen las características de una variable por vez. </w:t>
      </w:r>
      <w:r>
        <w:rPr>
          <w:rFonts w:ascii="Arial" w:hAnsi="Arial" w:cs="Arial"/>
          <w:bCs/>
        </w:rPr>
        <w:t>También se lo llama estadística descriptiva.</w:t>
      </w:r>
    </w:p>
    <w:p w:rsidR="00000000" w:rsidRDefault="00BC67ED">
      <w:pPr>
        <w:pStyle w:val="NormalWeb"/>
        <w:spacing w:before="0" w:beforeAutospacing="0" w:after="0" w:afterAutospacing="0"/>
        <w:ind w:left="540"/>
        <w:jc w:val="both"/>
        <w:rPr>
          <w:rFonts w:ascii="Arial" w:hAnsi="Arial" w:cs="Arial"/>
          <w:bCs/>
        </w:rPr>
      </w:pPr>
    </w:p>
    <w:p w:rsidR="00000000" w:rsidRDefault="00BC67ED">
      <w:pPr>
        <w:spacing w:line="480" w:lineRule="auto"/>
        <w:ind w:left="540"/>
        <w:jc w:val="both"/>
        <w:rPr>
          <w:rFonts w:ascii="Arial" w:hAnsi="Arial" w:cs="Arial"/>
        </w:rPr>
      </w:pPr>
      <w:r>
        <w:rPr>
          <w:rFonts w:ascii="Arial" w:hAnsi="Arial" w:cs="Arial"/>
        </w:rPr>
        <w:t>En el análisis multivariado se investiga la influencia de dos o más variables independientes, junto o no a una o más variables asoci</w:t>
      </w:r>
      <w:r>
        <w:rPr>
          <w:rFonts w:ascii="Arial" w:hAnsi="Arial" w:cs="Arial"/>
        </w:rPr>
        <w:t>adas (covariables o cofactores) sobre una o más variables dependientes.</w:t>
      </w:r>
    </w:p>
    <w:p w:rsidR="00000000" w:rsidRDefault="00BC67ED">
      <w:pPr>
        <w:pStyle w:val="NormalWeb"/>
        <w:spacing w:before="0" w:beforeAutospacing="0" w:after="0" w:afterAutospacing="0"/>
        <w:jc w:val="both"/>
        <w:rPr>
          <w:rFonts w:ascii="Arial" w:hAnsi="Arial" w:cs="Arial"/>
          <w:b/>
        </w:rPr>
      </w:pPr>
    </w:p>
    <w:p w:rsidR="00000000" w:rsidRDefault="00BC67ED">
      <w:pPr>
        <w:pStyle w:val="NormalWeb"/>
        <w:spacing w:before="0" w:beforeAutospacing="0" w:after="0" w:afterAutospacing="0"/>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rPr>
        <w:t>Medidas de Tendencia Central</w:t>
      </w:r>
    </w:p>
    <w:p w:rsidR="00000000" w:rsidRDefault="00BC67ED">
      <w:pPr>
        <w:pStyle w:val="NormalWeb"/>
        <w:spacing w:before="0" w:beforeAutospacing="0" w:after="0" w:afterAutospacing="0" w:line="480" w:lineRule="auto"/>
        <w:ind w:left="708"/>
        <w:jc w:val="both"/>
        <w:rPr>
          <w:rFonts w:ascii="Arial" w:hAnsi="Arial" w:cs="Arial"/>
        </w:rPr>
      </w:pPr>
      <w:r>
        <w:rPr>
          <w:rFonts w:ascii="Arial" w:hAnsi="Arial" w:cs="Arial"/>
        </w:rPr>
        <w:t>La medida de tendencia central más común que se utiliza en Estadística es la media aritmética.</w:t>
      </w:r>
    </w:p>
    <w:p w:rsidR="00000000" w:rsidRDefault="00BC67ED">
      <w:pPr>
        <w:pStyle w:val="NormalWeb"/>
        <w:spacing w:before="0" w:beforeAutospacing="0" w:after="0" w:afterAutospacing="0"/>
        <w:ind w:left="711"/>
        <w:jc w:val="both"/>
        <w:rPr>
          <w:rFonts w:ascii="Arial" w:hAnsi="Arial" w:cs="Arial"/>
        </w:rPr>
      </w:pPr>
    </w:p>
    <w:p w:rsidR="00000000" w:rsidRDefault="00BC67ED">
      <w:pPr>
        <w:pStyle w:val="NormalWeb"/>
        <w:spacing w:before="0" w:beforeAutospacing="0" w:after="0" w:afterAutospacing="0"/>
        <w:ind w:left="711"/>
        <w:jc w:val="both"/>
        <w:rPr>
          <w:rFonts w:ascii="Arial" w:hAnsi="Arial" w:cs="Arial"/>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bCs/>
        </w:rPr>
        <w:lastRenderedPageBreak/>
        <w:t>Medidas de Sesgo y Curtosis</w:t>
      </w:r>
    </w:p>
    <w:p w:rsidR="00000000" w:rsidRDefault="00BC67ED">
      <w:pPr>
        <w:pStyle w:val="Sangradetextonormal"/>
        <w:spacing w:after="0" w:line="480" w:lineRule="auto"/>
        <w:ind w:left="708"/>
        <w:jc w:val="both"/>
        <w:rPr>
          <w:rFonts w:ascii="Arial" w:hAnsi="Arial" w:cs="Arial"/>
        </w:rPr>
      </w:pPr>
      <w:r>
        <w:rPr>
          <w:rFonts w:ascii="Arial" w:hAnsi="Arial" w:cs="Arial"/>
        </w:rPr>
        <w:t>A parte de las medidas de te</w:t>
      </w:r>
      <w:r>
        <w:rPr>
          <w:rFonts w:ascii="Arial" w:hAnsi="Arial" w:cs="Arial"/>
        </w:rPr>
        <w:t>ndencia central y  de las medidas de dispersión existen otras dos medidas que describen los datos  estas medidas se las conoce como el coeficiente del sesgo y el coeficiente de la Curtosis.</w:t>
      </w:r>
    </w:p>
    <w:p w:rsidR="00000000" w:rsidRDefault="00BC67ED">
      <w:pPr>
        <w:pStyle w:val="Sangradetextonormal"/>
        <w:spacing w:after="0" w:line="480" w:lineRule="auto"/>
        <w:ind w:left="0"/>
        <w:jc w:val="both"/>
        <w:rPr>
          <w:rFonts w:ascii="Arial" w:hAnsi="Arial" w:cs="Arial"/>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bCs/>
        </w:rPr>
        <w:t>Coeficiente del Sesgo</w:t>
      </w:r>
    </w:p>
    <w:p w:rsidR="00000000" w:rsidRDefault="00BC67ED">
      <w:pPr>
        <w:pStyle w:val="Sangradetextonormal"/>
        <w:spacing w:line="480" w:lineRule="auto"/>
        <w:ind w:left="714"/>
        <w:jc w:val="both"/>
        <w:rPr>
          <w:rFonts w:ascii="Arial" w:hAnsi="Arial" w:cs="Arial"/>
        </w:rPr>
      </w:pPr>
      <w:r>
        <w:rPr>
          <w:rFonts w:ascii="Arial" w:hAnsi="Arial" w:cs="Arial"/>
        </w:rPr>
        <w:t xml:space="preserve">Este coeficiente describe la asimetría que </w:t>
      </w:r>
      <w:r>
        <w:rPr>
          <w:rFonts w:ascii="Arial" w:hAnsi="Arial" w:cs="Arial"/>
        </w:rPr>
        <w:t>existe en el conjunto de datos con respecto a la media, este coeficiente es calculado por la siguiente ecuación:</w:t>
      </w:r>
    </w:p>
    <w:p w:rsidR="00000000" w:rsidRDefault="00BC67ED">
      <w:pPr>
        <w:pStyle w:val="Sangradetextonormal"/>
        <w:ind w:left="324"/>
        <w:rPr>
          <w:rFonts w:ascii="Arial" w:hAnsi="Arial" w:cs="Arial"/>
        </w:rPr>
      </w:pPr>
    </w:p>
    <w:p w:rsidR="00000000" w:rsidRDefault="00BC67ED">
      <w:pPr>
        <w:pStyle w:val="Sangradetextonormal"/>
        <w:ind w:left="324"/>
        <w:jc w:val="center"/>
        <w:rPr>
          <w:rFonts w:ascii="Arial" w:hAnsi="Arial" w:cs="Arial"/>
        </w:rPr>
      </w:pPr>
      <w:r>
        <w:rPr>
          <w:rFonts w:ascii="Arial" w:hAnsi="Arial" w:cs="Arial"/>
          <w:position w:val="-72"/>
        </w:rPr>
        <w:object w:dxaOrig="2600" w:dyaOrig="1600">
          <v:shape id="_x0000_i1043" type="#_x0000_t75" style="width:130.2pt;height:80.05pt" o:ole="">
            <v:imagedata r:id="rId48" o:title=""/>
          </v:shape>
          <o:OLEObject Type="Embed" ProgID="Equation.3" ShapeID="_x0000_i1043" DrawAspect="Content" ObjectID="_1307787363" r:id="rId49"/>
        </w:object>
      </w:r>
    </w:p>
    <w:p w:rsidR="00000000" w:rsidRDefault="00BC67ED">
      <w:pPr>
        <w:spacing w:line="480" w:lineRule="auto"/>
        <w:ind w:left="708"/>
        <w:jc w:val="both"/>
        <w:rPr>
          <w:rFonts w:ascii="Arial" w:hAnsi="Arial" w:cs="Arial"/>
        </w:rPr>
      </w:pPr>
      <w:r>
        <w:rPr>
          <w:rFonts w:ascii="Arial" w:hAnsi="Arial" w:cs="Arial"/>
        </w:rPr>
        <w:t>Si el coeficiente del sesgo es negativo entonces la mayoría de los datos se encuentran hacia la izquierda del valor de</w:t>
      </w:r>
      <w:r>
        <w:rPr>
          <w:rFonts w:ascii="Arial" w:hAnsi="Arial" w:cs="Arial"/>
        </w:rPr>
        <w:t xml:space="preserve"> la media. Si el coeficiente del sesgo es positivo la mayoría de los datos se encuentran a la derecha del valor de la media. Cuando el coeficiente del sesgo es cero los datos se encuentran repartidos equitativamente tanto hacia la derecha como a la izquier</w:t>
      </w:r>
      <w:r>
        <w:rPr>
          <w:rFonts w:ascii="Arial" w:hAnsi="Arial" w:cs="Arial"/>
        </w:rPr>
        <w:t>da.</w:t>
      </w:r>
    </w:p>
    <w:p w:rsidR="00000000" w:rsidRDefault="00BC67ED">
      <w:pPr>
        <w:spacing w:line="480" w:lineRule="auto"/>
        <w:ind w:left="708"/>
        <w:jc w:val="both"/>
        <w:rPr>
          <w:rFonts w:ascii="Arial" w:hAnsi="Arial" w:cs="Arial"/>
        </w:rPr>
      </w:pPr>
      <w:r>
        <w:rPr>
          <w:rFonts w:ascii="Arial" w:hAnsi="Arial" w:cs="Arial"/>
        </w:rPr>
        <w:t xml:space="preserve">Cuando el coeficiente del sesgo es positivo el valor de la media es mayor que el valor de la mediana, mientras que cuando el coeficiente </w:t>
      </w:r>
      <w:r>
        <w:rPr>
          <w:rFonts w:ascii="Arial" w:hAnsi="Arial" w:cs="Arial"/>
        </w:rPr>
        <w:lastRenderedPageBreak/>
        <w:t>es negativo el valor de la mediana es mayor que el valor de la media, y cuando el coeficiente es cero  entonces los</w:t>
      </w:r>
      <w:r>
        <w:rPr>
          <w:rFonts w:ascii="Arial" w:hAnsi="Arial" w:cs="Arial"/>
        </w:rPr>
        <w:t xml:space="preserve"> valores de la  media y la mediana son iguales. El coeficiente de sesgo indica el grado a la cual una distribución se desvía de su simetría.</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Esto es usado por conjuntos de datos unimodales (esto es, tienen una sola moda) y tienen un tamaño de muestra por </w:t>
      </w:r>
      <w:r>
        <w:rPr>
          <w:rFonts w:ascii="Arial" w:hAnsi="Arial" w:cs="Arial"/>
        </w:rPr>
        <w:t>lo menos de 100. Grandes magnitudes en el coeficiente de sesgo, descartan la noción de una distribución simétrica.</w: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bCs/>
        </w:rPr>
        <w:t>Coeficiente de Curtosis</w:t>
      </w:r>
    </w:p>
    <w:p w:rsidR="00000000" w:rsidRDefault="00BC67ED">
      <w:pPr>
        <w:pStyle w:val="Sangradetextonormal"/>
        <w:spacing w:line="480" w:lineRule="auto"/>
        <w:ind w:left="708"/>
        <w:jc w:val="both"/>
        <w:rPr>
          <w:rFonts w:ascii="Arial" w:hAnsi="Arial" w:cs="Arial"/>
        </w:rPr>
      </w:pPr>
      <w:r>
        <w:rPr>
          <w:rFonts w:ascii="Arial" w:hAnsi="Arial" w:cs="Arial"/>
        </w:rPr>
        <w:t>El coeficiente de Curtosis es una medida que nos permite observar la picudez de un conjunto de datos. Esta medida es</w:t>
      </w:r>
      <w:r>
        <w:rPr>
          <w:rFonts w:ascii="Arial" w:hAnsi="Arial" w:cs="Arial"/>
        </w:rPr>
        <w:t>ta dada por la ecuación:</w:t>
      </w:r>
    </w:p>
    <w:p w:rsidR="00000000" w:rsidRDefault="00BC67ED">
      <w:pPr>
        <w:pStyle w:val="Sangradetextonormal"/>
        <w:ind w:left="324"/>
        <w:rPr>
          <w:rFonts w:ascii="Arial" w:hAnsi="Arial" w:cs="Arial"/>
        </w:rPr>
      </w:pPr>
    </w:p>
    <w:p w:rsidR="00000000" w:rsidRDefault="00BC67ED">
      <w:pPr>
        <w:pStyle w:val="Sangradetextonormal"/>
        <w:ind w:left="324"/>
        <w:jc w:val="center"/>
        <w:rPr>
          <w:rFonts w:ascii="Arial" w:hAnsi="Arial" w:cs="Arial"/>
        </w:rPr>
      </w:pPr>
      <w:r>
        <w:rPr>
          <w:rFonts w:ascii="Arial" w:hAnsi="Arial" w:cs="Arial"/>
          <w:position w:val="-68"/>
        </w:rPr>
        <w:object w:dxaOrig="2120" w:dyaOrig="1400">
          <v:shape id="_x0000_i1044" type="#_x0000_t75" style="width:106pt;height:70.25pt" o:ole="">
            <v:imagedata r:id="rId50" o:title=""/>
          </v:shape>
          <o:OLEObject Type="Embed" ProgID="Equation.DSMT4" ShapeID="_x0000_i1044" DrawAspect="Content" ObjectID="_1307787364" r:id="rId51"/>
        </w:object>
      </w:r>
    </w:p>
    <w:p w:rsidR="00000000" w:rsidRDefault="00BC67ED">
      <w:pPr>
        <w:pStyle w:val="Sangradetextonormal"/>
        <w:ind w:left="0"/>
        <w:rPr>
          <w:rFonts w:ascii="Arial" w:hAnsi="Arial" w:cs="Arial"/>
        </w:rPr>
      </w:pPr>
    </w:p>
    <w:p w:rsidR="00000000" w:rsidRDefault="00BC67ED">
      <w:pPr>
        <w:pStyle w:val="Sangradetextonormal"/>
        <w:spacing w:line="480" w:lineRule="auto"/>
        <w:ind w:left="708"/>
        <w:jc w:val="both"/>
        <w:rPr>
          <w:rFonts w:ascii="Arial" w:hAnsi="Arial" w:cs="Arial"/>
        </w:rPr>
      </w:pPr>
      <w:r>
        <w:rPr>
          <w:rFonts w:ascii="Arial" w:hAnsi="Arial" w:cs="Arial"/>
        </w:rPr>
        <w:t>El coeficiente de curtosis es una medida relativa. Para una distribución normal, el coeficiente de curtosis es 3. Una distribución normal se denomina mesocúrtica, una distribución que es más picuda que</w:t>
      </w:r>
      <w:r>
        <w:rPr>
          <w:rFonts w:ascii="Arial" w:hAnsi="Arial" w:cs="Arial"/>
        </w:rPr>
        <w:t xml:space="preserve"> la </w:t>
      </w:r>
      <w:r>
        <w:rPr>
          <w:rFonts w:ascii="Arial" w:hAnsi="Arial" w:cs="Arial"/>
        </w:rPr>
        <w:lastRenderedPageBreak/>
        <w:t>normal se denomina leptocúrtica, y una menos picuda que la normal es platicúrtica.</w:t>
      </w:r>
    </w:p>
    <w:p w:rsidR="00000000" w:rsidRDefault="00BC67ED">
      <w:pPr>
        <w:pStyle w:val="Sangradetextonormal"/>
        <w:spacing w:line="480" w:lineRule="auto"/>
        <w:ind w:left="708"/>
        <w:jc w:val="both"/>
        <w:rPr>
          <w:rFonts w:ascii="Arial" w:hAnsi="Arial" w:cs="Arial"/>
        </w:rPr>
      </w:pPr>
      <w:r>
        <w:rPr>
          <w:rFonts w:ascii="Arial" w:hAnsi="Arial" w:cs="Arial"/>
        </w:rPr>
        <w:t>Para una distribución leptocúrtica, el coeficiente de curtosis es más grande que 3. A mayor pronunciamiento de la picudez de una distribución, más grande es el valor del</w:t>
      </w:r>
      <w:r>
        <w:rPr>
          <w:rFonts w:ascii="Arial" w:hAnsi="Arial" w:cs="Arial"/>
        </w:rPr>
        <w:t xml:space="preserve"> coeficiente de curtosis. El coeficiente de curtosis se usa solamente para hacer inferencias de un conjunto de datos cuando el tamaño de la muestra es al menos de 100 y la distribución es unimodal, esto es, tiene una sola moda.</w:t>
      </w:r>
    </w:p>
    <w:p w:rsidR="00000000" w:rsidRDefault="00BC67ED">
      <w:pPr>
        <w:pStyle w:val="Sangradetextonormal"/>
        <w:spacing w:line="480" w:lineRule="auto"/>
        <w:ind w:left="708"/>
        <w:jc w:val="both"/>
        <w:rPr>
          <w:rFonts w:ascii="Arial" w:hAnsi="Arial" w:cs="Arial"/>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rPr>
        <w:t>Covarianza de dos Variables</w:t>
      </w:r>
      <w:r>
        <w:rPr>
          <w:rFonts w:ascii="Arial" w:hAnsi="Arial" w:cs="Arial"/>
          <w:b/>
        </w:rPr>
        <w:t xml:space="preserve"> Aleatorias</w:t>
      </w:r>
    </w:p>
    <w:p w:rsidR="00000000" w:rsidRDefault="00BC67ED">
      <w:pPr>
        <w:pStyle w:val="NormalWeb"/>
        <w:spacing w:before="0" w:beforeAutospacing="0" w:after="0" w:afterAutospacing="0" w:line="480" w:lineRule="auto"/>
        <w:ind w:left="708"/>
        <w:jc w:val="both"/>
        <w:rPr>
          <w:rFonts w:ascii="Arial" w:hAnsi="Arial" w:cs="Arial"/>
        </w:rPr>
      </w:pPr>
      <w:r>
        <w:rPr>
          <w:rFonts w:ascii="Arial" w:hAnsi="Arial" w:cs="Arial"/>
        </w:rPr>
        <w:t xml:space="preserve">Intuitivamente pensamos en la dependencia de dos variables aleatorias </w:t>
      </w:r>
      <w:r>
        <w:rPr>
          <w:rFonts w:ascii="Arial" w:hAnsi="Arial" w:cs="Arial"/>
          <w:position w:val="-12"/>
        </w:rPr>
        <w:object w:dxaOrig="740" w:dyaOrig="360">
          <v:shape id="_x0000_i1045" type="#_x0000_t75" style="width:36.85pt;height:17.85pt" o:ole="">
            <v:imagedata r:id="rId52" o:title=""/>
          </v:shape>
          <o:OLEObject Type="Embed" ProgID="Equation.3" ShapeID="_x0000_i1045" DrawAspect="Content" ObjectID="_1307787365" r:id="rId53"/>
        </w:object>
      </w:r>
      <w:r>
        <w:rPr>
          <w:rFonts w:ascii="Arial" w:hAnsi="Arial" w:cs="Arial"/>
        </w:rPr>
        <w:t xml:space="preserve"> como el caso en el que una variable, digamos </w:t>
      </w:r>
      <w:r>
        <w:rPr>
          <w:rFonts w:ascii="Arial" w:hAnsi="Arial" w:cs="Arial"/>
          <w:position w:val="-4"/>
        </w:rPr>
        <w:object w:dxaOrig="300" w:dyaOrig="279">
          <v:shape id="_x0000_i1046" type="#_x0000_t75" style="width:15pt;height:13.8pt" o:ole="">
            <v:imagedata r:id="rId54" o:title=""/>
          </v:shape>
          <o:OLEObject Type="Embed" ProgID="Equation.3" ShapeID="_x0000_i1046" DrawAspect="Content" ObjectID="_1307787366" r:id="rId55"/>
        </w:object>
      </w:r>
      <w:r>
        <w:rPr>
          <w:rFonts w:ascii="Arial" w:hAnsi="Arial" w:cs="Arial"/>
        </w:rPr>
        <w:t xml:space="preserve">, crece o decrece cuando </w:t>
      </w:r>
      <w:r>
        <w:rPr>
          <w:rFonts w:ascii="Arial" w:hAnsi="Arial" w:cs="Arial"/>
          <w:position w:val="-4"/>
        </w:rPr>
        <w:object w:dxaOrig="340" w:dyaOrig="279">
          <v:shape id="_x0000_i1047" type="#_x0000_t75" style="width:17.3pt;height:13.8pt" o:ole="">
            <v:imagedata r:id="rId56" o:title=""/>
          </v:shape>
          <o:OLEObject Type="Embed" ProgID="Equation.3" ShapeID="_x0000_i1047" DrawAspect="Content" ObjectID="_1307787367" r:id="rId57"/>
        </w:object>
      </w:r>
      <w:r>
        <w:rPr>
          <w:rFonts w:ascii="Arial" w:hAnsi="Arial" w:cs="Arial"/>
        </w:rPr>
        <w:t xml:space="preserve"> cambia.</w:t>
      </w:r>
    </w:p>
    <w:p w:rsidR="00000000" w:rsidRDefault="00BC67ED">
      <w:pPr>
        <w:pStyle w:val="NormalWeb"/>
        <w:spacing w:before="0" w:beforeAutospacing="0" w:after="0" w:afterAutospacing="0" w:line="480" w:lineRule="auto"/>
        <w:ind w:left="708"/>
        <w:jc w:val="both"/>
        <w:rPr>
          <w:rFonts w:ascii="Arial" w:hAnsi="Arial" w:cs="Arial"/>
        </w:rPr>
      </w:pPr>
      <w:r>
        <w:rPr>
          <w:rFonts w:ascii="Arial" w:hAnsi="Arial" w:cs="Arial"/>
          <w:b/>
          <w:i/>
        </w:rPr>
        <w:t>Definición.-</w:t>
      </w:r>
      <w:r>
        <w:rPr>
          <w:rFonts w:ascii="Arial" w:hAnsi="Arial" w:cs="Arial"/>
        </w:rPr>
        <w:t xml:space="preserve"> La Covarianz</w:t>
      </w:r>
      <w:r>
        <w:rPr>
          <w:rFonts w:ascii="Arial" w:hAnsi="Arial" w:cs="Arial"/>
        </w:rPr>
        <w:t xml:space="preserve">a de </w:t>
      </w:r>
      <w:r>
        <w:rPr>
          <w:rFonts w:ascii="Arial" w:hAnsi="Arial" w:cs="Arial"/>
          <w:position w:val="-12"/>
        </w:rPr>
        <w:object w:dxaOrig="740" w:dyaOrig="360">
          <v:shape id="_x0000_i1048" type="#_x0000_t75" style="width:36.85pt;height:17.85pt" o:ole="">
            <v:imagedata r:id="rId52" o:title=""/>
          </v:shape>
          <o:OLEObject Type="Embed" ProgID="Equation.3" ShapeID="_x0000_i1048" DrawAspect="Content" ObjectID="_1307787368" r:id="rId58"/>
        </w:object>
      </w:r>
      <w:r>
        <w:rPr>
          <w:rFonts w:ascii="Arial" w:hAnsi="Arial" w:cs="Arial"/>
        </w:rPr>
        <w:t xml:space="preserve"> se define como el valor esperado de </w:t>
      </w:r>
      <w:r>
        <w:rPr>
          <w:rFonts w:ascii="Arial" w:hAnsi="Arial" w:cs="Arial"/>
          <w:position w:val="-10"/>
        </w:rPr>
        <w:object w:dxaOrig="1939" w:dyaOrig="360">
          <v:shape id="_x0000_i1049" type="#_x0000_t75" style="width:96.75pt;height:17.85pt" o:ole="">
            <v:imagedata r:id="rId59" o:title=""/>
          </v:shape>
          <o:OLEObject Type="Embed" ProgID="Equation.3" ShapeID="_x0000_i1049" DrawAspect="Content" ObjectID="_1307787369" r:id="rId60"/>
        </w:object>
      </w:r>
      <w:r>
        <w:rPr>
          <w:rFonts w:ascii="Arial" w:hAnsi="Arial" w:cs="Arial"/>
        </w:rPr>
        <w:t>. En la anotación de la esperanza la Covarianza será igual a:</w:t>
      </w:r>
    </w:p>
    <w:p w:rsidR="00000000" w:rsidRDefault="00BC67ED">
      <w:pPr>
        <w:pStyle w:val="NormalWeb"/>
        <w:spacing w:before="0" w:beforeAutospacing="0" w:after="0" w:afterAutospacing="0" w:line="480" w:lineRule="auto"/>
        <w:ind w:left="708"/>
        <w:jc w:val="both"/>
        <w:rPr>
          <w:rFonts w:ascii="Arial" w:hAnsi="Arial" w:cs="Arial"/>
        </w:rPr>
      </w:pPr>
      <w:r>
        <w:rPr>
          <w:rFonts w:ascii="Arial" w:hAnsi="Arial" w:cs="Arial"/>
          <w:position w:val="-10"/>
        </w:rPr>
        <w:object w:dxaOrig="3739" w:dyaOrig="360">
          <v:shape id="_x0000_i1050" type="#_x0000_t75" style="width:187.2pt;height:17.85pt" o:ole="">
            <v:imagedata r:id="rId61" o:title=""/>
          </v:shape>
          <o:OLEObject Type="Embed" ProgID="Equation.3" ShapeID="_x0000_i1050" DrawAspect="Content" ObjectID="_1307787370" r:id="rId62"/>
        </w:object>
      </w:r>
      <w:r>
        <w:rPr>
          <w:rFonts w:ascii="Arial" w:hAnsi="Arial" w:cs="Arial"/>
        </w:rPr>
        <w:t xml:space="preserve"> en donde </w:t>
      </w:r>
      <w:r>
        <w:rPr>
          <w:rFonts w:ascii="Arial" w:hAnsi="Arial" w:cs="Arial"/>
          <w:position w:val="-12"/>
        </w:rPr>
        <w:object w:dxaOrig="1160" w:dyaOrig="380">
          <v:shape id="_x0000_i1051" type="#_x0000_t75" style="width:58.2pt;height:19pt" o:ole="">
            <v:imagedata r:id="rId63" o:title=""/>
          </v:shape>
          <o:OLEObject Type="Embed" ProgID="Equation.3" ShapeID="_x0000_i1051" DrawAspect="Content" ObjectID="_1307787371" r:id="rId64"/>
        </w:object>
      </w:r>
      <w:r>
        <w:rPr>
          <w:rFonts w:ascii="Arial" w:hAnsi="Arial" w:cs="Arial"/>
        </w:rPr>
        <w:t xml:space="preserve">  y  </w:t>
      </w:r>
      <w:r>
        <w:rPr>
          <w:rFonts w:ascii="Arial" w:hAnsi="Arial" w:cs="Arial"/>
          <w:position w:val="-12"/>
        </w:rPr>
        <w:object w:dxaOrig="1219" w:dyaOrig="380">
          <v:shape id="_x0000_i1052" type="#_x0000_t75" style="width:61.05pt;height:19pt" o:ole="">
            <v:imagedata r:id="rId65" o:title=""/>
          </v:shape>
          <o:OLEObject Type="Embed" ProgID="Equation.3" ShapeID="_x0000_i1052" DrawAspect="Content" ObjectID="_1307787372" r:id="rId66"/>
        </w:object>
      </w:r>
      <w:r>
        <w:rPr>
          <w:rFonts w:ascii="Arial" w:hAnsi="Arial" w:cs="Arial"/>
        </w:rPr>
        <w:t>.</w:t>
      </w:r>
    </w:p>
    <w:p w:rsidR="00000000" w:rsidRDefault="00BC67ED">
      <w:pPr>
        <w:spacing w:line="480" w:lineRule="auto"/>
        <w:ind w:left="540"/>
        <w:jc w:val="both"/>
        <w:rPr>
          <w:rFonts w:ascii="Arial" w:hAnsi="Arial" w:cs="Arial"/>
          <w:b/>
          <w:caps/>
        </w:rPr>
      </w:pPr>
    </w:p>
    <w:p w:rsidR="00000000" w:rsidRDefault="00BC67ED">
      <w:pPr>
        <w:spacing w:line="480" w:lineRule="auto"/>
        <w:ind w:left="540"/>
        <w:jc w:val="both"/>
        <w:rPr>
          <w:rFonts w:ascii="Arial" w:hAnsi="Arial" w:cs="Arial"/>
          <w:b/>
          <w:caps/>
        </w:rPr>
      </w:pPr>
    </w:p>
    <w:p w:rsidR="00000000" w:rsidRDefault="00BC67ED">
      <w:pPr>
        <w:spacing w:line="480" w:lineRule="auto"/>
        <w:ind w:left="540"/>
        <w:jc w:val="both"/>
        <w:rPr>
          <w:rFonts w:ascii="Arial" w:hAnsi="Arial" w:cs="Arial"/>
          <w:b/>
          <w:caps/>
        </w:rPr>
      </w:pPr>
    </w:p>
    <w:p w:rsidR="00000000" w:rsidRDefault="00BC67ED" w:rsidP="00BC67ED">
      <w:pPr>
        <w:numPr>
          <w:ilvl w:val="1"/>
          <w:numId w:val="28"/>
        </w:numPr>
        <w:tabs>
          <w:tab w:val="clear" w:pos="1797"/>
          <w:tab w:val="num" w:pos="720"/>
        </w:tabs>
        <w:spacing w:line="480" w:lineRule="auto"/>
        <w:ind w:left="720"/>
        <w:jc w:val="both"/>
        <w:rPr>
          <w:rFonts w:ascii="Arial" w:hAnsi="Arial" w:cs="Arial"/>
          <w:b/>
        </w:rPr>
      </w:pPr>
      <w:r>
        <w:rPr>
          <w:rFonts w:ascii="Arial" w:hAnsi="Arial" w:cs="Arial"/>
          <w:b/>
          <w:spacing w:val="20"/>
        </w:rPr>
        <w:lastRenderedPageBreak/>
        <w:t>TABLA DE CONTINGE</w:t>
      </w:r>
      <w:r>
        <w:rPr>
          <w:rFonts w:ascii="Arial" w:hAnsi="Arial" w:cs="Arial"/>
          <w:b/>
          <w:spacing w:val="20"/>
        </w:rPr>
        <w:t>NCIA</w:t>
      </w:r>
    </w:p>
    <w:p w:rsidR="00000000" w:rsidRDefault="00BC67ED">
      <w:pPr>
        <w:spacing w:line="480" w:lineRule="auto"/>
        <w:ind w:left="720"/>
        <w:jc w:val="both"/>
        <w:rPr>
          <w:rFonts w:ascii="Arial" w:hAnsi="Arial" w:cs="Arial"/>
        </w:rPr>
      </w:pPr>
      <w:r>
        <w:rPr>
          <w:rFonts w:ascii="Arial" w:hAnsi="Arial" w:cs="Arial"/>
        </w:rPr>
        <w:t xml:space="preserve">Un problema común en el análisis de datos enumerativos se refiere a la independencia de dos métodos de clasificación de eventos observados. Por ejemplo, podríamos clasificar una muestra de individuos de según el sexo y según su opinión con respecto a </w:t>
      </w:r>
      <w:r>
        <w:rPr>
          <w:rFonts w:ascii="Arial" w:hAnsi="Arial" w:cs="Arial"/>
        </w:rPr>
        <w:t>una cuestión  política para probar la hipótesis de que las opiniones con respecto a esta cuestión son independientes del sexo, o podríamos clasificar a los pacientes que padecen cierta enfermedad según el tipo de medicamento y según el porcentaje de recupe</w:t>
      </w:r>
      <w:r>
        <w:rPr>
          <w:rFonts w:ascii="Arial" w:hAnsi="Arial" w:cs="Arial"/>
        </w:rPr>
        <w:t xml:space="preserve">ración para ver si el porcentaje de recuperación  depende del tipo de medicamento. En cada uno de estos ejemplos queremos investigar la </w:t>
      </w:r>
      <w:r>
        <w:rPr>
          <w:rFonts w:ascii="Arial" w:hAnsi="Arial" w:cs="Arial"/>
          <w:i/>
        </w:rPr>
        <w:t>dependencia o contingencia</w:t>
      </w:r>
      <w:r>
        <w:rPr>
          <w:rFonts w:ascii="Arial" w:hAnsi="Arial" w:cs="Arial"/>
        </w:rPr>
        <w:t xml:space="preserve"> entre dos criterios de clasificación.</w:t>
      </w:r>
    </w:p>
    <w:p w:rsidR="00000000" w:rsidRDefault="00BC67ED">
      <w:pPr>
        <w:ind w:left="3"/>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t>Para probar la hipótesis de independencia de dos varia</w:t>
      </w:r>
      <w:r>
        <w:rPr>
          <w:rFonts w:ascii="Arial" w:hAnsi="Arial" w:cs="Arial"/>
        </w:rPr>
        <w:t>bles de clasificación se utiliza el procedimiento de la prueba ji-cuadrada.</w:t>
      </w:r>
    </w:p>
    <w:p w:rsidR="00000000" w:rsidRDefault="00BC67ED">
      <w:pPr>
        <w:spacing w:line="480" w:lineRule="auto"/>
        <w:ind w:left="720"/>
        <w:jc w:val="both"/>
        <w:rPr>
          <w:rFonts w:ascii="Arial" w:hAnsi="Arial" w:cs="Arial"/>
        </w:rPr>
      </w:pPr>
      <w:r>
        <w:rPr>
          <w:rFonts w:ascii="Arial" w:hAnsi="Arial" w:cs="Arial"/>
        </w:rPr>
        <w:t>Las frecuencias observadas de las variables de clasificación se las conoce como una tabla de contingencia.</w:t>
      </w:r>
    </w:p>
    <w:p w:rsidR="00000000" w:rsidRDefault="00BC67ED">
      <w:pPr>
        <w:ind w:left="723"/>
        <w:jc w:val="both"/>
        <w:rPr>
          <w:rFonts w:ascii="Arial" w:hAnsi="Arial" w:cs="Arial"/>
        </w:rPr>
      </w:pPr>
    </w:p>
    <w:p w:rsidR="00000000" w:rsidRDefault="00BC67ED">
      <w:pPr>
        <w:ind w:left="723"/>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t>A una tabla de contingencia con r renglones y c columnas se le conoce c</w:t>
      </w:r>
      <w:r>
        <w:rPr>
          <w:rFonts w:ascii="Arial" w:hAnsi="Arial" w:cs="Arial"/>
        </w:rPr>
        <w:t>omo una tabla r x c (“r x c” se lee r x c). A los totales de renglones y columnas se les denomina frecuencias marginales.</w:t>
      </w:r>
    </w:p>
    <w:p w:rsidR="00000000" w:rsidRDefault="00BC67ED">
      <w:pPr>
        <w:ind w:left="723"/>
        <w:jc w:val="both"/>
        <w:rPr>
          <w:rFonts w:ascii="Arial" w:hAnsi="Arial" w:cs="Arial"/>
        </w:rPr>
      </w:pPr>
    </w:p>
    <w:p w:rsidR="00000000" w:rsidRDefault="00BC67ED">
      <w:pPr>
        <w:ind w:left="723"/>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lastRenderedPageBreak/>
        <w:t xml:space="preserve">Sea </w:t>
      </w:r>
      <w:r>
        <w:rPr>
          <w:rFonts w:ascii="Arial" w:hAnsi="Arial" w:cs="Arial"/>
          <w:position w:val="-8"/>
        </w:rPr>
        <w:object w:dxaOrig="360" w:dyaOrig="320">
          <v:shape id="_x0000_i1053" type="#_x0000_t75" style="width:17.85pt;height:16.15pt" o:ole="">
            <v:imagedata r:id="rId67" o:title=""/>
          </v:shape>
          <o:OLEObject Type="Embed" ProgID="Equation.3" ShapeID="_x0000_i1053" DrawAspect="Content" ObjectID="_1307787373" r:id="rId68"/>
        </w:object>
      </w:r>
      <w:r>
        <w:rPr>
          <w:rFonts w:ascii="Arial" w:hAnsi="Arial" w:cs="Arial"/>
          <w:b/>
        </w:rPr>
        <w:t xml:space="preserve"> </w:t>
      </w:r>
      <w:r>
        <w:rPr>
          <w:rFonts w:ascii="Arial" w:hAnsi="Arial" w:cs="Arial"/>
        </w:rPr>
        <w:t>la frecuencia observada en el renglón</w:t>
      </w:r>
      <w:r>
        <w:rPr>
          <w:rFonts w:ascii="Arial" w:hAnsi="Arial" w:cs="Arial"/>
          <w:b/>
        </w:rPr>
        <w:t xml:space="preserve"> </w:t>
      </w:r>
      <w:r>
        <w:rPr>
          <w:rFonts w:ascii="Arial" w:hAnsi="Arial" w:cs="Arial"/>
          <w:b/>
          <w:i/>
        </w:rPr>
        <w:t>i</w:t>
      </w:r>
      <w:r>
        <w:rPr>
          <w:rFonts w:ascii="Arial" w:hAnsi="Arial" w:cs="Arial"/>
        </w:rPr>
        <w:t xml:space="preserve"> y la columna </w:t>
      </w:r>
      <w:r>
        <w:rPr>
          <w:rFonts w:ascii="Arial" w:hAnsi="Arial" w:cs="Arial"/>
          <w:b/>
          <w:i/>
        </w:rPr>
        <w:t>j</w:t>
      </w:r>
      <w:r>
        <w:rPr>
          <w:rFonts w:ascii="Arial" w:hAnsi="Arial" w:cs="Arial"/>
        </w:rPr>
        <w:t xml:space="preserve"> de la tabla de contingencia, y sea</w:t>
      </w:r>
      <w:r>
        <w:rPr>
          <w:rFonts w:ascii="Arial" w:hAnsi="Arial" w:cs="Arial"/>
          <w:position w:val="-14"/>
        </w:rPr>
        <w:object w:dxaOrig="420" w:dyaOrig="380">
          <v:shape id="_x0000_i1054" type="#_x0000_t75" style="width:20.75pt;height:19pt" o:ole="">
            <v:imagedata r:id="rId69" o:title=""/>
          </v:shape>
          <o:OLEObject Type="Embed" ProgID="Equation.3" ShapeID="_x0000_i1054" DrawAspect="Content" ObjectID="_1307787374" r:id="rId70"/>
        </w:object>
      </w:r>
      <w:r>
        <w:rPr>
          <w:rFonts w:ascii="Arial" w:hAnsi="Arial" w:cs="Arial"/>
        </w:rPr>
        <w:t xml:space="preserve"> la probabilidad de que una observación caiga en esta celda. Si se seleccionan las observaciones independientemente, entonces las frecuencias de las celdas tienen una distribución multinomial, y el estimador de máxima verosimilitud de </w:t>
      </w:r>
      <w:r>
        <w:rPr>
          <w:rFonts w:ascii="Arial" w:hAnsi="Arial" w:cs="Arial"/>
          <w:position w:val="-14"/>
        </w:rPr>
        <w:object w:dxaOrig="420" w:dyaOrig="380">
          <v:shape id="_x0000_i1055" type="#_x0000_t75" style="width:20.75pt;height:19pt" o:ole="">
            <v:imagedata r:id="rId69" o:title=""/>
          </v:shape>
          <o:OLEObject Type="Embed" ProgID="Equation.3" ShapeID="_x0000_i1055" DrawAspect="Content" ObjectID="_1307787375" r:id="rId71"/>
        </w:object>
      </w:r>
      <w:r>
        <w:rPr>
          <w:rFonts w:ascii="Arial" w:hAnsi="Arial" w:cs="Arial"/>
        </w:rPr>
        <w:t xml:space="preserve"> es simplemente la frecuencia relativa observada para esta celda. Es decir,</w:t>
      </w:r>
    </w:p>
    <w:p w:rsidR="00000000" w:rsidRDefault="00BC67ED">
      <w:pPr>
        <w:jc w:val="both"/>
        <w:rPr>
          <w:rFonts w:ascii="Arial" w:hAnsi="Arial" w:cs="Arial"/>
        </w:rPr>
      </w:pPr>
    </w:p>
    <w:p w:rsidR="00000000" w:rsidRDefault="00BC67ED">
      <w:pPr>
        <w:jc w:val="center"/>
        <w:rPr>
          <w:rFonts w:ascii="Arial" w:hAnsi="Arial" w:cs="Arial"/>
        </w:rPr>
      </w:pPr>
      <w:r>
        <w:rPr>
          <w:rFonts w:ascii="Arial" w:hAnsi="Arial" w:cs="Arial"/>
          <w:b/>
          <w:sz w:val="28"/>
          <w:szCs w:val="28"/>
        </w:rPr>
        <w:t xml:space="preserve">                 </w:t>
      </w:r>
      <w:r>
        <w:rPr>
          <w:rFonts w:ascii="Arial" w:hAnsi="Arial" w:cs="Arial"/>
          <w:b/>
          <w:position w:val="-12"/>
          <w:sz w:val="28"/>
          <w:szCs w:val="28"/>
        </w:rPr>
        <w:object w:dxaOrig="200" w:dyaOrig="380">
          <v:shape id="_x0000_i1056" type="#_x0000_t75" style="width:9.8pt;height:19pt" o:ole="">
            <v:imagedata r:id="rId72" o:title=""/>
          </v:shape>
          <o:OLEObject Type="Embed" ProgID="Equation.3" ShapeID="_x0000_i1056" DrawAspect="Content" ObjectID="_1307787376" r:id="rId73"/>
        </w:object>
      </w:r>
      <w:r>
        <w:rPr>
          <w:rFonts w:ascii="Arial" w:hAnsi="Arial" w:cs="Arial"/>
          <w:position w:val="-28"/>
        </w:rPr>
        <w:object w:dxaOrig="2200" w:dyaOrig="720">
          <v:shape id="_x0000_i1057" type="#_x0000_t75" style="width:110pt;height:36.3pt" o:ole="">
            <v:imagedata r:id="rId74" o:title=""/>
          </v:shape>
          <o:OLEObject Type="Embed" ProgID="Equation.3" ShapeID="_x0000_i1057" DrawAspect="Content" ObjectID="_1307787377" r:id="rId75"/>
        </w:object>
      </w:r>
    </w:p>
    <w:p w:rsidR="00000000" w:rsidRDefault="00BC67ED">
      <w:pPr>
        <w:jc w:val="center"/>
        <w:rPr>
          <w:rFonts w:ascii="Arial" w:hAnsi="Arial" w:cs="Arial"/>
        </w:rPr>
      </w:pPr>
    </w:p>
    <w:p w:rsidR="00000000" w:rsidRDefault="00BC67ED">
      <w:pPr>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 xml:space="preserve">Así mismo al considerar el renglón </w:t>
      </w:r>
      <w:r>
        <w:rPr>
          <w:rFonts w:ascii="Arial" w:hAnsi="Arial" w:cs="Arial"/>
          <w:b/>
          <w:i/>
        </w:rPr>
        <w:t>i</w:t>
      </w:r>
      <w:r>
        <w:rPr>
          <w:rFonts w:ascii="Arial" w:hAnsi="Arial" w:cs="Arial"/>
        </w:rPr>
        <w:t xml:space="preserve"> como una sola celda, la probabilidad para el renglón </w:t>
      </w:r>
      <w:r>
        <w:rPr>
          <w:rFonts w:ascii="Arial" w:hAnsi="Arial" w:cs="Arial"/>
          <w:b/>
          <w:i/>
        </w:rPr>
        <w:t>i</w:t>
      </w:r>
      <w:r>
        <w:rPr>
          <w:rFonts w:ascii="Arial" w:hAnsi="Arial" w:cs="Arial"/>
        </w:rPr>
        <w:t xml:space="preserve"> está dada p</w:t>
      </w:r>
      <w:r>
        <w:rPr>
          <w:rFonts w:ascii="Arial" w:hAnsi="Arial" w:cs="Arial"/>
        </w:rPr>
        <w:t xml:space="preserve">or </w:t>
      </w:r>
      <w:r>
        <w:rPr>
          <w:rFonts w:ascii="Arial" w:hAnsi="Arial" w:cs="Arial"/>
          <w:position w:val="-14"/>
        </w:rPr>
        <w:object w:dxaOrig="380" w:dyaOrig="380">
          <v:shape id="_x0000_i1058" type="#_x0000_t75" style="width:19pt;height:19pt" o:ole="">
            <v:imagedata r:id="rId76" o:title=""/>
          </v:shape>
          <o:OLEObject Type="Embed" ProgID="Equation.3" ShapeID="_x0000_i1058" DrawAspect="Content" ObjectID="_1307787378" r:id="rId77"/>
        </w:object>
      </w:r>
      <w:r>
        <w:rPr>
          <w:rFonts w:ascii="Arial" w:hAnsi="Arial" w:cs="Arial"/>
        </w:rPr>
        <w:t xml:space="preserve"> y por lo tanto </w:t>
      </w:r>
      <w:r>
        <w:rPr>
          <w:rFonts w:ascii="Arial" w:hAnsi="Arial" w:cs="Arial"/>
          <w:position w:val="-28"/>
        </w:rPr>
        <w:object w:dxaOrig="880" w:dyaOrig="720">
          <v:shape id="_x0000_i1059" type="#_x0000_t75" style="width:43.8pt;height:36.3pt" o:ole="">
            <v:imagedata r:id="rId78" o:title=""/>
          </v:shape>
          <o:OLEObject Type="Embed" ProgID="Equation.3" ShapeID="_x0000_i1059" DrawAspect="Content" ObjectID="_1307787379" r:id="rId79"/>
        </w:object>
      </w:r>
      <w:r>
        <w:rPr>
          <w:rFonts w:ascii="Arial" w:hAnsi="Arial" w:cs="Arial"/>
        </w:rPr>
        <w:t xml:space="preserve">, (en donde </w:t>
      </w:r>
      <w:r>
        <w:rPr>
          <w:rFonts w:ascii="Arial" w:hAnsi="Arial" w:cs="Arial"/>
          <w:position w:val="-6"/>
        </w:rPr>
        <w:object w:dxaOrig="279" w:dyaOrig="300">
          <v:shape id="_x0000_i1060" type="#_x0000_t75" style="width:13.8pt;height:15pt" o:ole="">
            <v:imagedata r:id="rId80" o:title=""/>
          </v:shape>
          <o:OLEObject Type="Embed" ProgID="Equation.3" ShapeID="_x0000_i1060" DrawAspect="Content" ObjectID="_1307787380" r:id="rId81"/>
        </w:object>
      </w:r>
      <w:r>
        <w:rPr>
          <w:rFonts w:ascii="Arial" w:hAnsi="Arial" w:cs="Arial"/>
        </w:rPr>
        <w:t xml:space="preserve">denota el número de observaciones en el renglón </w:t>
      </w:r>
      <w:r>
        <w:rPr>
          <w:rFonts w:ascii="Arial" w:hAnsi="Arial" w:cs="Arial"/>
          <w:b/>
          <w:i/>
        </w:rPr>
        <w:t>i)</w:t>
      </w:r>
      <w:r>
        <w:rPr>
          <w:rFonts w:ascii="Arial" w:hAnsi="Arial" w:cs="Arial"/>
          <w:b/>
          <w:sz w:val="28"/>
          <w:szCs w:val="28"/>
        </w:rPr>
        <w:t xml:space="preserve"> </w:t>
      </w:r>
      <w:r>
        <w:rPr>
          <w:rFonts w:ascii="Arial" w:hAnsi="Arial" w:cs="Arial"/>
        </w:rPr>
        <w:t>es el estimador de máxima verosimilitud de</w:t>
      </w:r>
      <w:r>
        <w:rPr>
          <w:rFonts w:ascii="Arial" w:hAnsi="Arial" w:cs="Arial"/>
          <w:position w:val="-14"/>
        </w:rPr>
        <w:object w:dxaOrig="380" w:dyaOrig="380">
          <v:shape id="_x0000_i1061" type="#_x0000_t75" style="width:19pt;height:19pt" o:ole="">
            <v:imagedata r:id="rId76" o:title=""/>
          </v:shape>
          <o:OLEObject Type="Embed" ProgID="Equation.3" ShapeID="_x0000_i1061" DrawAspect="Content" ObjectID="_1307787381" r:id="rId82"/>
        </w:object>
      </w:r>
      <w:r>
        <w:rPr>
          <w:rFonts w:ascii="Arial" w:hAnsi="Arial" w:cs="Arial"/>
        </w:rPr>
        <w:t>.</w:t>
      </w:r>
    </w:p>
    <w:p w:rsidR="00000000" w:rsidRDefault="00BC67ED">
      <w:pPr>
        <w:ind w:left="723"/>
        <w:jc w:val="both"/>
        <w:rPr>
          <w:rFonts w:ascii="Arial" w:hAnsi="Arial" w:cs="Arial"/>
        </w:rPr>
      </w:pPr>
    </w:p>
    <w:p w:rsidR="00000000" w:rsidRDefault="00BC67ED">
      <w:pPr>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Aplicando razonamientos análogos enc</w:t>
      </w:r>
      <w:r>
        <w:rPr>
          <w:rFonts w:ascii="Arial" w:hAnsi="Arial" w:cs="Arial"/>
        </w:rPr>
        <w:t xml:space="preserve">ontramos que el estimador de máxima verosimilitud de la j-ésima probabilidad de la columna </w:t>
      </w:r>
      <w:r>
        <w:rPr>
          <w:rFonts w:ascii="Arial" w:hAnsi="Arial" w:cs="Arial"/>
          <w:position w:val="-28"/>
        </w:rPr>
        <w:object w:dxaOrig="340" w:dyaOrig="720">
          <v:shape id="_x0000_i1062" type="#_x0000_t75" style="width:17.3pt;height:36.3pt" o:ole="">
            <v:imagedata r:id="rId83" o:title=""/>
          </v:shape>
          <o:OLEObject Type="Embed" ProgID="Equation.3" ShapeID="_x0000_i1062" DrawAspect="Content" ObjectID="_1307787382" r:id="rId84"/>
        </w:object>
      </w:r>
      <w:r>
        <w:rPr>
          <w:rFonts w:ascii="Arial" w:hAnsi="Arial" w:cs="Arial"/>
          <w:b/>
          <w:sz w:val="28"/>
          <w:szCs w:val="28"/>
        </w:rPr>
        <w:t xml:space="preserve">, </w:t>
      </w:r>
      <w:r>
        <w:rPr>
          <w:rFonts w:ascii="Arial" w:hAnsi="Arial" w:cs="Arial"/>
        </w:rPr>
        <w:t>en donde</w:t>
      </w:r>
      <w:r>
        <w:rPr>
          <w:rFonts w:ascii="Arial" w:hAnsi="Arial" w:cs="Arial"/>
          <w:b/>
          <w:sz w:val="28"/>
          <w:szCs w:val="28"/>
        </w:rPr>
        <w:t xml:space="preserve"> </w:t>
      </w:r>
      <w:r>
        <w:rPr>
          <w:rFonts w:ascii="Arial" w:hAnsi="Arial" w:cs="Arial"/>
          <w:position w:val="-8"/>
        </w:rPr>
        <w:object w:dxaOrig="300" w:dyaOrig="320">
          <v:shape id="_x0000_i1063" type="#_x0000_t75" style="width:15pt;height:16.15pt" o:ole="">
            <v:imagedata r:id="rId85" o:title=""/>
          </v:shape>
          <o:OLEObject Type="Embed" ProgID="Equation.3" ShapeID="_x0000_i1063" DrawAspect="Content" ObjectID="_1307787383" r:id="rId86"/>
        </w:object>
      </w:r>
      <w:r>
        <w:rPr>
          <w:rFonts w:ascii="Arial" w:hAnsi="Arial" w:cs="Arial"/>
          <w:b/>
          <w:sz w:val="28"/>
          <w:szCs w:val="28"/>
        </w:rPr>
        <w:t xml:space="preserve"> </w:t>
      </w:r>
      <w:r>
        <w:rPr>
          <w:rFonts w:ascii="Arial" w:hAnsi="Arial" w:cs="Arial"/>
        </w:rPr>
        <w:t xml:space="preserve">denota el número de observaciones en la columna </w:t>
      </w:r>
      <w:r>
        <w:rPr>
          <w:rFonts w:ascii="Arial" w:hAnsi="Arial" w:cs="Arial"/>
          <w:b/>
          <w:i/>
        </w:rPr>
        <w:t>j</w:t>
      </w:r>
      <w:r>
        <w:rPr>
          <w:rFonts w:ascii="Arial" w:hAnsi="Arial" w:cs="Arial"/>
        </w:rPr>
        <w:t>.</w:t>
      </w:r>
    </w:p>
    <w:p w:rsidR="00000000" w:rsidRDefault="00BC67ED">
      <w:pPr>
        <w:ind w:left="723"/>
        <w:jc w:val="both"/>
        <w:rPr>
          <w:rFonts w:ascii="Arial" w:hAnsi="Arial" w:cs="Arial"/>
        </w:rPr>
      </w:pPr>
    </w:p>
    <w:p w:rsidR="00000000" w:rsidRDefault="00BC67ED">
      <w:pPr>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lastRenderedPageBreak/>
        <w:t>Según al hipótesis nula, la estimación de máxima veros</w:t>
      </w:r>
      <w:r>
        <w:rPr>
          <w:rFonts w:ascii="Arial" w:hAnsi="Arial" w:cs="Arial"/>
        </w:rPr>
        <w:t xml:space="preserve">imilitud del valor esperado de </w:t>
      </w:r>
      <w:r>
        <w:rPr>
          <w:rFonts w:ascii="Arial" w:hAnsi="Arial" w:cs="Arial"/>
          <w:position w:val="-6"/>
        </w:rPr>
        <w:object w:dxaOrig="400" w:dyaOrig="300">
          <v:shape id="_x0000_i1064" type="#_x0000_t75" style="width:20.15pt;height:15pt" o:ole="">
            <v:imagedata r:id="rId87" o:title=""/>
          </v:shape>
          <o:OLEObject Type="Embed" ProgID="Equation.3" ShapeID="_x0000_i1064" DrawAspect="Content" ObjectID="_1307787384" r:id="rId88"/>
        </w:object>
      </w:r>
      <w:r>
        <w:rPr>
          <w:rFonts w:ascii="Arial" w:hAnsi="Arial" w:cs="Arial"/>
          <w:b/>
          <w:sz w:val="28"/>
          <w:szCs w:val="28"/>
        </w:rPr>
        <w:t xml:space="preserve"> </w:t>
      </w:r>
      <w:r>
        <w:rPr>
          <w:rFonts w:ascii="Arial" w:hAnsi="Arial" w:cs="Arial"/>
        </w:rPr>
        <w:t>es</w:t>
      </w:r>
    </w:p>
    <w:p w:rsidR="00000000" w:rsidRDefault="00BC67ED">
      <w:pPr>
        <w:ind w:left="3"/>
        <w:jc w:val="both"/>
        <w:rPr>
          <w:rFonts w:ascii="Arial" w:hAnsi="Arial" w:cs="Arial"/>
          <w:b/>
          <w:sz w:val="28"/>
          <w:szCs w:val="28"/>
        </w:rPr>
      </w:pPr>
    </w:p>
    <w:p w:rsidR="00000000" w:rsidRDefault="00BC67ED">
      <w:pPr>
        <w:ind w:left="3"/>
        <w:jc w:val="center"/>
        <w:rPr>
          <w:rFonts w:ascii="Arial" w:hAnsi="Arial" w:cs="Arial"/>
        </w:rPr>
      </w:pPr>
      <w:r>
        <w:rPr>
          <w:rFonts w:ascii="Arial" w:hAnsi="Arial" w:cs="Arial"/>
          <w:position w:val="-28"/>
        </w:rPr>
        <w:object w:dxaOrig="3879" w:dyaOrig="720">
          <v:shape id="_x0000_i1065" type="#_x0000_t75" style="width:194.1pt;height:36.3pt" o:ole="">
            <v:imagedata r:id="rId89" o:title=""/>
          </v:shape>
          <o:OLEObject Type="Embed" ProgID="Equation.3" ShapeID="_x0000_i1065" DrawAspect="Content" ObjectID="_1307787385" r:id="rId90"/>
        </w:object>
      </w:r>
    </w:p>
    <w:p w:rsidR="00000000" w:rsidRDefault="00BC67ED">
      <w:pPr>
        <w:ind w:left="3"/>
        <w:jc w:val="center"/>
        <w:rPr>
          <w:rFonts w:ascii="Arial" w:hAnsi="Arial" w:cs="Arial"/>
        </w:rPr>
      </w:pPr>
    </w:p>
    <w:p w:rsidR="00000000" w:rsidRDefault="00BC67ED">
      <w:pPr>
        <w:spacing w:line="480" w:lineRule="auto"/>
        <w:ind w:left="723"/>
        <w:jc w:val="both"/>
        <w:rPr>
          <w:rFonts w:ascii="Arial" w:hAnsi="Arial" w:cs="Arial"/>
        </w:rPr>
      </w:pPr>
      <w:r>
        <w:rPr>
          <w:rFonts w:ascii="Arial" w:hAnsi="Arial" w:cs="Arial"/>
          <w:b/>
          <w:noProof/>
          <w:sz w:val="28"/>
          <w:szCs w:val="28"/>
          <w:lang w:val="es-ES" w:eastAsia="es-ES"/>
        </w:rPr>
        <w:pict>
          <v:shapetype id="_x0000_t202" coordsize="21600,21600" o:spt="202" path="m,l,21600r21600,l21600,xe">
            <v:stroke joinstyle="miter"/>
            <v:path gradientshapeok="t" o:connecttype="rect"/>
          </v:shapetype>
          <v:shape id="_x0000_s1045" type="#_x0000_t202" style="position:absolute;left:0;text-align:left;margin-left:153pt;margin-top:132.1pt;width:162pt;height:53.9pt;z-index:251661312" strokeweight="3pt">
            <v:stroke linestyle="thinThin"/>
            <v:textbox style="mso-next-textbox:#_x0000_s1045">
              <w:txbxContent>
                <w:p w:rsidR="00000000" w:rsidRDefault="00BC67ED">
                  <w:pPr>
                    <w:ind w:left="360"/>
                  </w:pPr>
                  <w:r>
                    <w:rPr>
                      <w:position w:val="-28"/>
                    </w:rPr>
                    <w:object w:dxaOrig="1340" w:dyaOrig="720">
                      <v:shape id="_x0000_i1206" type="#_x0000_t75" style="width:81.2pt;height:43.8pt" o:ole="">
                        <v:imagedata r:id="rId91" o:title=""/>
                      </v:shape>
                      <o:OLEObject Type="Embed" ProgID="Equation.3" ShapeID="_x0000_i1206" DrawAspect="Content" ObjectID="_1307787525" r:id="rId92"/>
                    </w:object>
                  </w:r>
                </w:p>
              </w:txbxContent>
            </v:textbox>
            <w10:wrap type="square"/>
          </v:shape>
        </w:pict>
      </w:r>
      <w:r>
        <w:rPr>
          <w:rFonts w:ascii="Arial" w:hAnsi="Arial" w:cs="Arial"/>
        </w:rPr>
        <w:t>En otras palabras, vemos que la estimación del valor esperado de la frecuencia de la celda observada</w:t>
      </w:r>
      <w:r>
        <w:rPr>
          <w:rFonts w:ascii="Arial" w:hAnsi="Arial" w:cs="Arial"/>
          <w:b/>
          <w:sz w:val="28"/>
          <w:szCs w:val="28"/>
        </w:rPr>
        <w:t xml:space="preserve"> </w:t>
      </w:r>
      <w:r>
        <w:rPr>
          <w:rFonts w:ascii="Arial" w:hAnsi="Arial" w:cs="Arial"/>
          <w:position w:val="-8"/>
        </w:rPr>
        <w:object w:dxaOrig="360" w:dyaOrig="320">
          <v:shape id="_x0000_i1066" type="#_x0000_t75" style="width:17.85pt;height:16.15pt" o:ole="">
            <v:imagedata r:id="rId67" o:title=""/>
          </v:shape>
          <o:OLEObject Type="Embed" ProgID="Equation.3" ShapeID="_x0000_i1066" DrawAspect="Content" ObjectID="_1307787386" r:id="rId93"/>
        </w:object>
      </w:r>
      <w:r>
        <w:rPr>
          <w:rFonts w:ascii="Arial" w:hAnsi="Arial" w:cs="Arial"/>
        </w:rPr>
        <w:t xml:space="preserve"> para una tabla de contingencia, es igual al pr</w:t>
      </w:r>
      <w:r>
        <w:rPr>
          <w:rFonts w:ascii="Arial" w:hAnsi="Arial" w:cs="Arial"/>
        </w:rPr>
        <w:t>oducto de sus respectivos totales de renglón y de columna, dividido entre la frecuencia total. Es decir,</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tbl>
      <w:tblPr>
        <w:tblpPr w:leftFromText="141" w:rightFromText="141" w:vertAnchor="page" w:horzAnchor="page" w:tblpX="4501" w:tblpY="9289"/>
        <w:tblW w:w="46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837"/>
        <w:gridCol w:w="682"/>
        <w:gridCol w:w="526"/>
        <w:gridCol w:w="737"/>
        <w:gridCol w:w="720"/>
        <w:gridCol w:w="1161"/>
      </w:tblGrid>
      <w:tr w:rsidR="00000000">
        <w:trPr>
          <w:trHeight w:val="707"/>
        </w:trPr>
        <w:tc>
          <w:tcPr>
            <w:tcW w:w="4663" w:type="dxa"/>
            <w:gridSpan w:val="6"/>
            <w:vAlign w:val="center"/>
          </w:tcPr>
          <w:p w:rsidR="00000000" w:rsidRDefault="00BC67ED">
            <w:pPr>
              <w:jc w:val="center"/>
              <w:rPr>
                <w:rFonts w:ascii="Arial" w:hAnsi="Arial" w:cs="Arial"/>
                <w:b/>
                <w:sz w:val="18"/>
                <w:szCs w:val="18"/>
              </w:rPr>
            </w:pPr>
            <w:r>
              <w:rPr>
                <w:rFonts w:ascii="Arial" w:hAnsi="Arial" w:cs="Arial"/>
                <w:b/>
                <w:sz w:val="16"/>
                <w:szCs w:val="16"/>
              </w:rPr>
              <w:t>Columnas</w:t>
            </w:r>
          </w:p>
        </w:tc>
      </w:tr>
      <w:tr w:rsidR="00000000">
        <w:trPr>
          <w:trHeight w:val="707"/>
        </w:trPr>
        <w:tc>
          <w:tcPr>
            <w:tcW w:w="837" w:type="dxa"/>
            <w:vAlign w:val="center"/>
          </w:tcPr>
          <w:p w:rsidR="00000000" w:rsidRDefault="00BC67ED">
            <w:pPr>
              <w:rPr>
                <w:rFonts w:ascii="Arial" w:hAnsi="Arial" w:cs="Arial"/>
                <w:b/>
                <w:sz w:val="18"/>
                <w:szCs w:val="18"/>
              </w:rPr>
            </w:pPr>
            <w:r>
              <w:rPr>
                <w:rFonts w:ascii="Arial" w:hAnsi="Arial" w:cs="Arial"/>
                <w:b/>
                <w:sz w:val="18"/>
                <w:szCs w:val="18"/>
              </w:rPr>
              <w:t>Filas</w:t>
            </w:r>
          </w:p>
        </w:tc>
        <w:tc>
          <w:tcPr>
            <w:tcW w:w="682" w:type="dxa"/>
            <w:vAlign w:val="center"/>
          </w:tcPr>
          <w:p w:rsidR="00000000" w:rsidRDefault="00BC67ED">
            <w:pPr>
              <w:rPr>
                <w:rFonts w:ascii="Arial" w:hAnsi="Arial" w:cs="Arial"/>
                <w:sz w:val="18"/>
                <w:szCs w:val="18"/>
              </w:rPr>
            </w:pPr>
            <w:r>
              <w:rPr>
                <w:rFonts w:ascii="Arial" w:hAnsi="Arial" w:cs="Arial"/>
                <w:sz w:val="18"/>
                <w:szCs w:val="18"/>
              </w:rPr>
              <w:t>A</w:t>
            </w:r>
          </w:p>
        </w:tc>
        <w:tc>
          <w:tcPr>
            <w:tcW w:w="526" w:type="dxa"/>
            <w:vAlign w:val="center"/>
          </w:tcPr>
          <w:p w:rsidR="00000000" w:rsidRDefault="00BC67ED">
            <w:pPr>
              <w:rPr>
                <w:rFonts w:ascii="Arial" w:hAnsi="Arial" w:cs="Arial"/>
                <w:sz w:val="18"/>
                <w:szCs w:val="18"/>
              </w:rPr>
            </w:pPr>
            <w:r>
              <w:rPr>
                <w:rFonts w:ascii="Arial" w:hAnsi="Arial" w:cs="Arial"/>
                <w:sz w:val="18"/>
                <w:szCs w:val="18"/>
              </w:rPr>
              <w:t>B</w:t>
            </w:r>
          </w:p>
        </w:tc>
        <w:tc>
          <w:tcPr>
            <w:tcW w:w="737" w:type="dxa"/>
            <w:vAlign w:val="center"/>
          </w:tcPr>
          <w:p w:rsidR="00000000" w:rsidRDefault="00BC67ED">
            <w:pPr>
              <w:rPr>
                <w:rFonts w:ascii="Arial" w:hAnsi="Arial" w:cs="Arial"/>
                <w:sz w:val="18"/>
                <w:szCs w:val="18"/>
              </w:rPr>
            </w:pPr>
            <w:r>
              <w:rPr>
                <w:rFonts w:ascii="Arial" w:hAnsi="Arial" w:cs="Arial"/>
                <w:sz w:val="18"/>
                <w:szCs w:val="18"/>
              </w:rPr>
              <w:t>C</w:t>
            </w:r>
          </w:p>
        </w:tc>
        <w:tc>
          <w:tcPr>
            <w:tcW w:w="720" w:type="dxa"/>
            <w:vAlign w:val="center"/>
          </w:tcPr>
          <w:p w:rsidR="00000000" w:rsidRDefault="00BC67ED">
            <w:pPr>
              <w:rPr>
                <w:rFonts w:ascii="Arial" w:hAnsi="Arial" w:cs="Arial"/>
                <w:sz w:val="18"/>
                <w:szCs w:val="18"/>
              </w:rPr>
            </w:pPr>
            <w:r>
              <w:rPr>
                <w:rFonts w:ascii="Arial" w:hAnsi="Arial" w:cs="Arial"/>
                <w:sz w:val="18"/>
                <w:szCs w:val="18"/>
              </w:rPr>
              <w:t>D</w:t>
            </w:r>
          </w:p>
        </w:tc>
        <w:tc>
          <w:tcPr>
            <w:tcW w:w="1161" w:type="dxa"/>
            <w:vAlign w:val="center"/>
          </w:tcPr>
          <w:p w:rsidR="00000000" w:rsidRDefault="00BC67ED">
            <w:pPr>
              <w:rPr>
                <w:rFonts w:ascii="Arial" w:hAnsi="Arial" w:cs="Arial"/>
                <w:b/>
                <w:sz w:val="18"/>
                <w:szCs w:val="18"/>
              </w:rPr>
            </w:pPr>
            <w:r>
              <w:rPr>
                <w:rFonts w:ascii="Arial" w:hAnsi="Arial" w:cs="Arial"/>
                <w:b/>
                <w:sz w:val="18"/>
                <w:szCs w:val="18"/>
              </w:rPr>
              <w:t>Total</w:t>
            </w:r>
          </w:p>
        </w:tc>
      </w:tr>
      <w:tr w:rsidR="00000000">
        <w:trPr>
          <w:trHeight w:val="403"/>
        </w:trPr>
        <w:tc>
          <w:tcPr>
            <w:tcW w:w="837" w:type="dxa"/>
            <w:vAlign w:val="center"/>
          </w:tcPr>
          <w:p w:rsidR="00000000" w:rsidRDefault="00BC67ED">
            <w:pPr>
              <w:rPr>
                <w:rFonts w:ascii="Arial" w:hAnsi="Arial" w:cs="Arial"/>
                <w:sz w:val="16"/>
                <w:szCs w:val="16"/>
              </w:rPr>
            </w:pPr>
            <w:r>
              <w:rPr>
                <w:rFonts w:ascii="Arial" w:hAnsi="Arial" w:cs="Arial"/>
                <w:sz w:val="16"/>
                <w:szCs w:val="16"/>
              </w:rPr>
              <w:t>1</w:t>
            </w:r>
          </w:p>
        </w:tc>
        <w:tc>
          <w:tcPr>
            <w:tcW w:w="682" w:type="dxa"/>
            <w:vAlign w:val="center"/>
          </w:tcPr>
          <w:p w:rsidR="00000000" w:rsidRDefault="00BC67ED">
            <w:pPr>
              <w:rPr>
                <w:rFonts w:ascii="Arial" w:hAnsi="Arial" w:cs="Arial"/>
                <w:sz w:val="16"/>
                <w:szCs w:val="16"/>
              </w:rPr>
            </w:pPr>
            <w:r>
              <w:rPr>
                <w:rFonts w:ascii="Arial" w:hAnsi="Arial" w:cs="Arial"/>
                <w:position w:val="-6"/>
                <w:sz w:val="16"/>
                <w:szCs w:val="16"/>
              </w:rPr>
              <w:object w:dxaOrig="340" w:dyaOrig="240">
                <v:shape id="_x0000_i1067" type="#_x0000_t75" style="width:17.3pt;height:12.1pt" o:ole="">
                  <v:imagedata r:id="rId94" o:title=""/>
                </v:shape>
                <o:OLEObject Type="Embed" ProgID="Equation.3" ShapeID="_x0000_i1067" DrawAspect="Content" ObjectID="_1307787387" r:id="rId95"/>
              </w:object>
            </w:r>
          </w:p>
        </w:tc>
        <w:tc>
          <w:tcPr>
            <w:tcW w:w="526" w:type="dxa"/>
            <w:vAlign w:val="center"/>
          </w:tcPr>
          <w:p w:rsidR="00000000" w:rsidRDefault="00BC67ED">
            <w:pPr>
              <w:rPr>
                <w:rFonts w:ascii="Arial" w:hAnsi="Arial" w:cs="Arial"/>
                <w:sz w:val="10"/>
                <w:szCs w:val="10"/>
              </w:rPr>
            </w:pPr>
            <w:r>
              <w:rPr>
                <w:rFonts w:ascii="Arial" w:hAnsi="Arial" w:cs="Arial"/>
                <w:position w:val="-6"/>
                <w:sz w:val="10"/>
                <w:szCs w:val="10"/>
              </w:rPr>
              <w:object w:dxaOrig="360" w:dyaOrig="240">
                <v:shape id="_x0000_i1068" type="#_x0000_t75" style="width:17.85pt;height:12.1pt" o:ole="">
                  <v:imagedata r:id="rId96" o:title=""/>
                </v:shape>
                <o:OLEObject Type="Embed" ProgID="Equation.3" ShapeID="_x0000_i1068" DrawAspect="Content" ObjectID="_1307787388" r:id="rId97"/>
              </w:object>
            </w:r>
          </w:p>
        </w:tc>
        <w:tc>
          <w:tcPr>
            <w:tcW w:w="737" w:type="dxa"/>
            <w:vAlign w:val="center"/>
          </w:tcPr>
          <w:p w:rsidR="00000000" w:rsidRDefault="00BC67ED">
            <w:pPr>
              <w:rPr>
                <w:rFonts w:ascii="Arial" w:hAnsi="Arial" w:cs="Arial"/>
                <w:sz w:val="10"/>
                <w:szCs w:val="10"/>
              </w:rPr>
            </w:pPr>
            <w:r>
              <w:rPr>
                <w:rFonts w:ascii="Arial" w:hAnsi="Arial" w:cs="Arial"/>
                <w:position w:val="-6"/>
                <w:sz w:val="10"/>
                <w:szCs w:val="10"/>
              </w:rPr>
              <w:object w:dxaOrig="340" w:dyaOrig="240">
                <v:shape id="_x0000_i1069" type="#_x0000_t75" style="width:17.3pt;height:12.1pt" o:ole="">
                  <v:imagedata r:id="rId98" o:title=""/>
                </v:shape>
                <o:OLEObject Type="Embed" ProgID="Equation.3" ShapeID="_x0000_i1069" DrawAspect="Content" ObjectID="_1307787389" r:id="rId99"/>
              </w:object>
            </w:r>
          </w:p>
        </w:tc>
        <w:tc>
          <w:tcPr>
            <w:tcW w:w="720" w:type="dxa"/>
            <w:vAlign w:val="center"/>
          </w:tcPr>
          <w:p w:rsidR="00000000" w:rsidRDefault="00BC67ED">
            <w:pPr>
              <w:rPr>
                <w:rFonts w:ascii="Arial" w:hAnsi="Arial" w:cs="Arial"/>
                <w:sz w:val="10"/>
                <w:szCs w:val="10"/>
              </w:rPr>
            </w:pPr>
            <w:r>
              <w:rPr>
                <w:rFonts w:ascii="Arial" w:hAnsi="Arial" w:cs="Arial"/>
                <w:position w:val="-8"/>
                <w:sz w:val="10"/>
                <w:szCs w:val="10"/>
              </w:rPr>
              <w:object w:dxaOrig="360" w:dyaOrig="260">
                <v:shape id="_x0000_i1070" type="#_x0000_t75" style="width:17.85pt;height:13.25pt" o:ole="">
                  <v:imagedata r:id="rId100" o:title=""/>
                </v:shape>
                <o:OLEObject Type="Embed" ProgID="Equation.3" ShapeID="_x0000_i1070" DrawAspect="Content" ObjectID="_1307787390" r:id="rId101"/>
              </w:object>
            </w:r>
          </w:p>
        </w:tc>
        <w:tc>
          <w:tcPr>
            <w:tcW w:w="1161" w:type="dxa"/>
            <w:vAlign w:val="center"/>
          </w:tcPr>
          <w:p w:rsidR="00000000" w:rsidRDefault="00BC67ED">
            <w:pPr>
              <w:rPr>
                <w:rFonts w:ascii="Arial" w:hAnsi="Arial" w:cs="Arial"/>
                <w:sz w:val="10"/>
                <w:szCs w:val="10"/>
              </w:rPr>
            </w:pPr>
            <w:r>
              <w:rPr>
                <w:rFonts w:ascii="Arial" w:hAnsi="Arial" w:cs="Arial"/>
                <w:position w:val="-12"/>
                <w:sz w:val="10"/>
                <w:szCs w:val="10"/>
              </w:rPr>
              <w:object w:dxaOrig="639" w:dyaOrig="380">
                <v:shape id="_x0000_i1071" type="#_x0000_t75" style="width:31.7pt;height:19pt" o:ole="">
                  <v:imagedata r:id="rId102" o:title=""/>
                </v:shape>
                <o:OLEObject Type="Embed" ProgID="Equation.3" ShapeID="_x0000_i1071" DrawAspect="Content" ObjectID="_1307787391" r:id="rId103"/>
              </w:object>
            </w:r>
          </w:p>
        </w:tc>
      </w:tr>
      <w:tr w:rsidR="00000000">
        <w:trPr>
          <w:trHeight w:val="424"/>
        </w:trPr>
        <w:tc>
          <w:tcPr>
            <w:tcW w:w="837" w:type="dxa"/>
            <w:vAlign w:val="center"/>
          </w:tcPr>
          <w:p w:rsidR="00000000" w:rsidRDefault="00BC67ED">
            <w:pPr>
              <w:rPr>
                <w:rFonts w:ascii="Arial" w:hAnsi="Arial" w:cs="Arial"/>
                <w:sz w:val="16"/>
                <w:szCs w:val="16"/>
              </w:rPr>
            </w:pPr>
            <w:r>
              <w:rPr>
                <w:rFonts w:ascii="Arial" w:hAnsi="Arial" w:cs="Arial"/>
                <w:sz w:val="16"/>
                <w:szCs w:val="16"/>
              </w:rPr>
              <w:t>2</w:t>
            </w:r>
          </w:p>
        </w:tc>
        <w:tc>
          <w:tcPr>
            <w:tcW w:w="682" w:type="dxa"/>
            <w:vAlign w:val="center"/>
          </w:tcPr>
          <w:p w:rsidR="00000000" w:rsidRDefault="00BC67ED">
            <w:pPr>
              <w:rPr>
                <w:rFonts w:ascii="Arial" w:hAnsi="Arial" w:cs="Arial"/>
                <w:sz w:val="16"/>
                <w:szCs w:val="16"/>
              </w:rPr>
            </w:pPr>
            <w:r>
              <w:rPr>
                <w:rFonts w:ascii="Arial" w:hAnsi="Arial" w:cs="Arial"/>
                <w:position w:val="-6"/>
                <w:sz w:val="16"/>
                <w:szCs w:val="16"/>
              </w:rPr>
              <w:object w:dxaOrig="360" w:dyaOrig="240">
                <v:shape id="_x0000_i1072" type="#_x0000_t75" style="width:17.85pt;height:12.1pt" o:ole="">
                  <v:imagedata r:id="rId104" o:title=""/>
                </v:shape>
                <o:OLEObject Type="Embed" ProgID="Equation.3" ShapeID="_x0000_i1072" DrawAspect="Content" ObjectID="_1307787392" r:id="rId105"/>
              </w:object>
            </w:r>
          </w:p>
        </w:tc>
        <w:tc>
          <w:tcPr>
            <w:tcW w:w="526" w:type="dxa"/>
            <w:vAlign w:val="center"/>
          </w:tcPr>
          <w:p w:rsidR="00000000" w:rsidRDefault="00BC67ED">
            <w:pPr>
              <w:rPr>
                <w:rFonts w:ascii="Arial" w:hAnsi="Arial" w:cs="Arial"/>
                <w:sz w:val="10"/>
                <w:szCs w:val="10"/>
              </w:rPr>
            </w:pPr>
            <w:r>
              <w:rPr>
                <w:rFonts w:ascii="Arial" w:hAnsi="Arial" w:cs="Arial"/>
                <w:position w:val="-6"/>
                <w:sz w:val="10"/>
                <w:szCs w:val="10"/>
              </w:rPr>
              <w:object w:dxaOrig="360" w:dyaOrig="240">
                <v:shape id="_x0000_i1073" type="#_x0000_t75" style="width:17.85pt;height:12.1pt" o:ole="">
                  <v:imagedata r:id="rId106" o:title=""/>
                </v:shape>
                <o:OLEObject Type="Embed" ProgID="Equation.3" ShapeID="_x0000_i1073" DrawAspect="Content" ObjectID="_1307787393" r:id="rId107"/>
              </w:object>
            </w:r>
          </w:p>
        </w:tc>
        <w:tc>
          <w:tcPr>
            <w:tcW w:w="737" w:type="dxa"/>
            <w:vAlign w:val="center"/>
          </w:tcPr>
          <w:p w:rsidR="00000000" w:rsidRDefault="00BC67ED">
            <w:pPr>
              <w:rPr>
                <w:rFonts w:ascii="Arial" w:hAnsi="Arial" w:cs="Arial"/>
                <w:sz w:val="10"/>
                <w:szCs w:val="10"/>
              </w:rPr>
            </w:pPr>
            <w:r>
              <w:rPr>
                <w:rFonts w:ascii="Arial" w:hAnsi="Arial" w:cs="Arial"/>
                <w:position w:val="-6"/>
                <w:sz w:val="10"/>
                <w:szCs w:val="10"/>
              </w:rPr>
              <w:object w:dxaOrig="360" w:dyaOrig="240">
                <v:shape id="_x0000_i1074" type="#_x0000_t75" style="width:17.85pt;height:12.1pt" o:ole="">
                  <v:imagedata r:id="rId108" o:title=""/>
                </v:shape>
                <o:OLEObject Type="Embed" ProgID="Equation.3" ShapeID="_x0000_i1074" DrawAspect="Content" ObjectID="_1307787394" r:id="rId109"/>
              </w:object>
            </w:r>
          </w:p>
        </w:tc>
        <w:tc>
          <w:tcPr>
            <w:tcW w:w="720" w:type="dxa"/>
            <w:vAlign w:val="center"/>
          </w:tcPr>
          <w:p w:rsidR="00000000" w:rsidRDefault="00BC67ED">
            <w:pPr>
              <w:rPr>
                <w:rFonts w:ascii="Arial" w:hAnsi="Arial" w:cs="Arial"/>
                <w:sz w:val="10"/>
                <w:szCs w:val="10"/>
              </w:rPr>
            </w:pPr>
            <w:r>
              <w:rPr>
                <w:rFonts w:ascii="Arial" w:hAnsi="Arial" w:cs="Arial"/>
                <w:position w:val="-8"/>
                <w:sz w:val="10"/>
                <w:szCs w:val="10"/>
              </w:rPr>
              <w:object w:dxaOrig="380" w:dyaOrig="260">
                <v:shape id="_x0000_i1075" type="#_x0000_t75" style="width:19pt;height:13.25pt" o:ole="">
                  <v:imagedata r:id="rId110" o:title=""/>
                </v:shape>
                <o:OLEObject Type="Embed" ProgID="Equation.3" ShapeID="_x0000_i1075" DrawAspect="Content" ObjectID="_1307787395" r:id="rId111"/>
              </w:object>
            </w:r>
          </w:p>
        </w:tc>
        <w:tc>
          <w:tcPr>
            <w:tcW w:w="1161" w:type="dxa"/>
            <w:vAlign w:val="center"/>
          </w:tcPr>
          <w:p w:rsidR="00000000" w:rsidRDefault="00BC67ED">
            <w:pPr>
              <w:rPr>
                <w:rFonts w:ascii="Arial" w:hAnsi="Arial" w:cs="Arial"/>
                <w:sz w:val="10"/>
                <w:szCs w:val="10"/>
              </w:rPr>
            </w:pPr>
            <w:r>
              <w:rPr>
                <w:rFonts w:ascii="Arial" w:hAnsi="Arial" w:cs="Arial"/>
                <w:position w:val="-12"/>
                <w:sz w:val="10"/>
                <w:szCs w:val="10"/>
              </w:rPr>
              <w:object w:dxaOrig="680" w:dyaOrig="380">
                <v:shape id="_x0000_i1076" type="#_x0000_t75" style="width:34pt;height:19pt" o:ole="">
                  <v:imagedata r:id="rId112" o:title=""/>
                </v:shape>
                <o:OLEObject Type="Embed" ProgID="Equation.3" ShapeID="_x0000_i1076" DrawAspect="Content" ObjectID="_1307787396" r:id="rId113"/>
              </w:object>
            </w:r>
          </w:p>
        </w:tc>
      </w:tr>
      <w:tr w:rsidR="00000000">
        <w:trPr>
          <w:trHeight w:val="424"/>
        </w:trPr>
        <w:tc>
          <w:tcPr>
            <w:tcW w:w="837" w:type="dxa"/>
            <w:vAlign w:val="center"/>
          </w:tcPr>
          <w:p w:rsidR="00000000" w:rsidRDefault="00BC67ED">
            <w:pPr>
              <w:rPr>
                <w:rFonts w:ascii="Arial" w:hAnsi="Arial" w:cs="Arial"/>
                <w:sz w:val="16"/>
                <w:szCs w:val="16"/>
              </w:rPr>
            </w:pPr>
            <w:r>
              <w:rPr>
                <w:rFonts w:ascii="Arial" w:hAnsi="Arial" w:cs="Arial"/>
                <w:sz w:val="16"/>
                <w:szCs w:val="16"/>
              </w:rPr>
              <w:t>.</w:t>
            </w:r>
          </w:p>
        </w:tc>
        <w:tc>
          <w:tcPr>
            <w:tcW w:w="682" w:type="dxa"/>
            <w:vAlign w:val="center"/>
          </w:tcPr>
          <w:p w:rsidR="00000000" w:rsidRDefault="00BC67ED">
            <w:pPr>
              <w:ind w:left="1080"/>
              <w:jc w:val="center"/>
              <w:rPr>
                <w:rFonts w:ascii="Arial" w:hAnsi="Arial" w:cs="Arial"/>
                <w:sz w:val="16"/>
                <w:szCs w:val="16"/>
              </w:rPr>
            </w:pPr>
          </w:p>
        </w:tc>
        <w:tc>
          <w:tcPr>
            <w:tcW w:w="526" w:type="dxa"/>
            <w:vAlign w:val="center"/>
          </w:tcPr>
          <w:p w:rsidR="00000000" w:rsidRDefault="00BC67ED">
            <w:pPr>
              <w:ind w:left="1080"/>
              <w:jc w:val="center"/>
              <w:rPr>
                <w:rFonts w:ascii="Arial" w:hAnsi="Arial" w:cs="Arial"/>
                <w:sz w:val="10"/>
                <w:szCs w:val="10"/>
              </w:rPr>
            </w:pPr>
          </w:p>
        </w:tc>
        <w:tc>
          <w:tcPr>
            <w:tcW w:w="737" w:type="dxa"/>
            <w:vAlign w:val="center"/>
          </w:tcPr>
          <w:p w:rsidR="00000000" w:rsidRDefault="00BC67ED">
            <w:pPr>
              <w:ind w:left="1080"/>
              <w:jc w:val="center"/>
              <w:rPr>
                <w:rFonts w:ascii="Arial" w:hAnsi="Arial" w:cs="Arial"/>
                <w:sz w:val="10"/>
                <w:szCs w:val="10"/>
              </w:rPr>
            </w:pPr>
          </w:p>
        </w:tc>
        <w:tc>
          <w:tcPr>
            <w:tcW w:w="720" w:type="dxa"/>
            <w:vAlign w:val="center"/>
          </w:tcPr>
          <w:p w:rsidR="00000000" w:rsidRDefault="00BC67ED">
            <w:pPr>
              <w:ind w:left="1080"/>
              <w:jc w:val="center"/>
              <w:rPr>
                <w:rFonts w:ascii="Arial" w:hAnsi="Arial" w:cs="Arial"/>
                <w:sz w:val="10"/>
                <w:szCs w:val="10"/>
              </w:rPr>
            </w:pPr>
          </w:p>
        </w:tc>
        <w:tc>
          <w:tcPr>
            <w:tcW w:w="1161" w:type="dxa"/>
            <w:vAlign w:val="center"/>
          </w:tcPr>
          <w:p w:rsidR="00000000" w:rsidRDefault="00BC67ED">
            <w:pPr>
              <w:ind w:left="1080"/>
              <w:jc w:val="center"/>
              <w:rPr>
                <w:rFonts w:ascii="Arial" w:hAnsi="Arial" w:cs="Arial"/>
                <w:sz w:val="10"/>
                <w:szCs w:val="10"/>
              </w:rPr>
            </w:pPr>
          </w:p>
        </w:tc>
      </w:tr>
      <w:tr w:rsidR="00000000">
        <w:trPr>
          <w:trHeight w:val="403"/>
        </w:trPr>
        <w:tc>
          <w:tcPr>
            <w:tcW w:w="837" w:type="dxa"/>
            <w:vAlign w:val="center"/>
          </w:tcPr>
          <w:p w:rsidR="00000000" w:rsidRDefault="00BC67ED">
            <w:pPr>
              <w:rPr>
                <w:rFonts w:ascii="Arial" w:hAnsi="Arial" w:cs="Arial"/>
                <w:sz w:val="16"/>
                <w:szCs w:val="16"/>
              </w:rPr>
            </w:pPr>
            <w:r>
              <w:rPr>
                <w:rFonts w:ascii="Arial" w:hAnsi="Arial" w:cs="Arial"/>
                <w:sz w:val="16"/>
                <w:szCs w:val="16"/>
              </w:rPr>
              <w:t>.</w:t>
            </w:r>
          </w:p>
        </w:tc>
        <w:tc>
          <w:tcPr>
            <w:tcW w:w="682" w:type="dxa"/>
            <w:vAlign w:val="center"/>
          </w:tcPr>
          <w:p w:rsidR="00000000" w:rsidRDefault="00BC67ED">
            <w:pPr>
              <w:ind w:left="1080"/>
              <w:jc w:val="center"/>
              <w:rPr>
                <w:rFonts w:ascii="Arial" w:hAnsi="Arial" w:cs="Arial"/>
                <w:sz w:val="16"/>
                <w:szCs w:val="16"/>
              </w:rPr>
            </w:pPr>
          </w:p>
        </w:tc>
        <w:tc>
          <w:tcPr>
            <w:tcW w:w="526" w:type="dxa"/>
            <w:vAlign w:val="center"/>
          </w:tcPr>
          <w:p w:rsidR="00000000" w:rsidRDefault="00BC67ED">
            <w:pPr>
              <w:ind w:left="1080"/>
              <w:jc w:val="center"/>
              <w:rPr>
                <w:rFonts w:ascii="Arial" w:hAnsi="Arial" w:cs="Arial"/>
                <w:sz w:val="10"/>
                <w:szCs w:val="10"/>
              </w:rPr>
            </w:pPr>
          </w:p>
        </w:tc>
        <w:tc>
          <w:tcPr>
            <w:tcW w:w="737" w:type="dxa"/>
            <w:vAlign w:val="center"/>
          </w:tcPr>
          <w:p w:rsidR="00000000" w:rsidRDefault="00BC67ED">
            <w:pPr>
              <w:ind w:left="1080"/>
              <w:jc w:val="center"/>
              <w:rPr>
                <w:rFonts w:ascii="Arial" w:hAnsi="Arial" w:cs="Arial"/>
                <w:sz w:val="10"/>
                <w:szCs w:val="10"/>
              </w:rPr>
            </w:pPr>
          </w:p>
        </w:tc>
        <w:tc>
          <w:tcPr>
            <w:tcW w:w="720" w:type="dxa"/>
            <w:vAlign w:val="center"/>
          </w:tcPr>
          <w:p w:rsidR="00000000" w:rsidRDefault="00BC67ED">
            <w:pPr>
              <w:ind w:left="1080"/>
              <w:jc w:val="center"/>
              <w:rPr>
                <w:rFonts w:ascii="Arial" w:hAnsi="Arial" w:cs="Arial"/>
                <w:sz w:val="10"/>
                <w:szCs w:val="10"/>
              </w:rPr>
            </w:pPr>
          </w:p>
        </w:tc>
        <w:tc>
          <w:tcPr>
            <w:tcW w:w="1161" w:type="dxa"/>
            <w:vAlign w:val="center"/>
          </w:tcPr>
          <w:p w:rsidR="00000000" w:rsidRDefault="00BC67ED">
            <w:pPr>
              <w:ind w:left="1080"/>
              <w:jc w:val="center"/>
              <w:rPr>
                <w:rFonts w:ascii="Arial" w:hAnsi="Arial" w:cs="Arial"/>
                <w:sz w:val="10"/>
                <w:szCs w:val="10"/>
              </w:rPr>
            </w:pPr>
          </w:p>
        </w:tc>
      </w:tr>
      <w:tr w:rsidR="00000000">
        <w:trPr>
          <w:trHeight w:val="403"/>
        </w:trPr>
        <w:tc>
          <w:tcPr>
            <w:tcW w:w="837" w:type="dxa"/>
            <w:vAlign w:val="center"/>
          </w:tcPr>
          <w:p w:rsidR="00000000" w:rsidRDefault="00BC67ED">
            <w:pPr>
              <w:rPr>
                <w:rFonts w:ascii="Arial" w:hAnsi="Arial" w:cs="Arial"/>
                <w:sz w:val="16"/>
                <w:szCs w:val="16"/>
              </w:rPr>
            </w:pPr>
            <w:r>
              <w:rPr>
                <w:rFonts w:ascii="Arial" w:hAnsi="Arial" w:cs="Arial"/>
                <w:sz w:val="16"/>
                <w:szCs w:val="16"/>
              </w:rPr>
              <w:t>.</w:t>
            </w:r>
          </w:p>
        </w:tc>
        <w:tc>
          <w:tcPr>
            <w:tcW w:w="682" w:type="dxa"/>
            <w:vAlign w:val="center"/>
          </w:tcPr>
          <w:p w:rsidR="00000000" w:rsidRDefault="00BC67ED">
            <w:pPr>
              <w:rPr>
                <w:rFonts w:ascii="Arial" w:hAnsi="Arial" w:cs="Arial"/>
                <w:sz w:val="16"/>
                <w:szCs w:val="16"/>
              </w:rPr>
            </w:pPr>
            <w:r>
              <w:rPr>
                <w:rFonts w:ascii="Arial" w:hAnsi="Arial" w:cs="Arial"/>
                <w:position w:val="-6"/>
                <w:sz w:val="16"/>
                <w:szCs w:val="16"/>
              </w:rPr>
              <w:object w:dxaOrig="320" w:dyaOrig="240">
                <v:shape id="_x0000_i1077" type="#_x0000_t75" style="width:16.15pt;height:12.1pt" o:ole="">
                  <v:imagedata r:id="rId114" o:title=""/>
                </v:shape>
                <o:OLEObject Type="Embed" ProgID="Equation.3" ShapeID="_x0000_i1077" DrawAspect="Content" ObjectID="_1307787397" r:id="rId115"/>
              </w:object>
            </w:r>
          </w:p>
        </w:tc>
        <w:tc>
          <w:tcPr>
            <w:tcW w:w="526" w:type="dxa"/>
            <w:vAlign w:val="center"/>
          </w:tcPr>
          <w:p w:rsidR="00000000" w:rsidRDefault="00BC67ED">
            <w:pPr>
              <w:rPr>
                <w:rFonts w:ascii="Arial" w:hAnsi="Arial" w:cs="Arial"/>
                <w:sz w:val="10"/>
                <w:szCs w:val="10"/>
              </w:rPr>
            </w:pPr>
            <w:r>
              <w:rPr>
                <w:rFonts w:ascii="Arial" w:hAnsi="Arial" w:cs="Arial"/>
                <w:position w:val="-6"/>
                <w:sz w:val="10"/>
                <w:szCs w:val="10"/>
              </w:rPr>
              <w:object w:dxaOrig="340" w:dyaOrig="240">
                <v:shape id="_x0000_i1078" type="#_x0000_t75" style="width:17.3pt;height:12.1pt" o:ole="">
                  <v:imagedata r:id="rId116" o:title=""/>
                </v:shape>
                <o:OLEObject Type="Embed" ProgID="Equation.3" ShapeID="_x0000_i1078" DrawAspect="Content" ObjectID="_1307787398" r:id="rId117"/>
              </w:object>
            </w:r>
          </w:p>
        </w:tc>
        <w:tc>
          <w:tcPr>
            <w:tcW w:w="737" w:type="dxa"/>
            <w:vAlign w:val="center"/>
          </w:tcPr>
          <w:p w:rsidR="00000000" w:rsidRDefault="00BC67ED">
            <w:pPr>
              <w:rPr>
                <w:rFonts w:ascii="Arial" w:hAnsi="Arial" w:cs="Arial"/>
                <w:sz w:val="10"/>
                <w:szCs w:val="10"/>
              </w:rPr>
            </w:pPr>
            <w:r>
              <w:rPr>
                <w:rFonts w:ascii="Arial" w:hAnsi="Arial" w:cs="Arial"/>
                <w:position w:val="-6"/>
                <w:sz w:val="10"/>
                <w:szCs w:val="10"/>
              </w:rPr>
              <w:object w:dxaOrig="340" w:dyaOrig="240">
                <v:shape id="_x0000_i1079" type="#_x0000_t75" style="width:17.3pt;height:12.1pt" o:ole="">
                  <v:imagedata r:id="rId118" o:title=""/>
                </v:shape>
                <o:OLEObject Type="Embed" ProgID="Equation.3" ShapeID="_x0000_i1079" DrawAspect="Content" ObjectID="_1307787399" r:id="rId119"/>
              </w:object>
            </w:r>
            <w:r>
              <w:rPr>
                <w:rFonts w:ascii="Arial" w:hAnsi="Arial" w:cs="Arial"/>
                <w:sz w:val="10"/>
                <w:szCs w:val="10"/>
              </w:rPr>
              <w:t>….</w:t>
            </w:r>
          </w:p>
        </w:tc>
        <w:tc>
          <w:tcPr>
            <w:tcW w:w="720" w:type="dxa"/>
            <w:vAlign w:val="center"/>
          </w:tcPr>
          <w:p w:rsidR="00000000" w:rsidRDefault="00BC67ED">
            <w:pPr>
              <w:rPr>
                <w:rFonts w:ascii="Arial" w:hAnsi="Arial" w:cs="Arial"/>
                <w:sz w:val="10"/>
                <w:szCs w:val="10"/>
              </w:rPr>
            </w:pPr>
            <w:r>
              <w:rPr>
                <w:rFonts w:ascii="Arial" w:hAnsi="Arial" w:cs="Arial"/>
                <w:position w:val="-8"/>
                <w:sz w:val="10"/>
                <w:szCs w:val="10"/>
              </w:rPr>
              <w:object w:dxaOrig="300" w:dyaOrig="260">
                <v:shape id="_x0000_i1080" type="#_x0000_t75" style="width:15pt;height:13.25pt" o:ole="">
                  <v:imagedata r:id="rId120" o:title=""/>
                </v:shape>
                <o:OLEObject Type="Embed" ProgID="Equation.3" ShapeID="_x0000_i1080" DrawAspect="Content" ObjectID="_1307787400" r:id="rId121"/>
              </w:object>
            </w:r>
          </w:p>
        </w:tc>
        <w:tc>
          <w:tcPr>
            <w:tcW w:w="1161" w:type="dxa"/>
            <w:vAlign w:val="center"/>
          </w:tcPr>
          <w:p w:rsidR="00000000" w:rsidRDefault="00BC67ED">
            <w:pPr>
              <w:rPr>
                <w:rFonts w:ascii="Arial" w:hAnsi="Arial" w:cs="Arial"/>
                <w:sz w:val="10"/>
                <w:szCs w:val="10"/>
              </w:rPr>
            </w:pPr>
            <w:r>
              <w:rPr>
                <w:rFonts w:ascii="Arial" w:hAnsi="Arial" w:cs="Arial"/>
                <w:position w:val="-12"/>
                <w:sz w:val="10"/>
                <w:szCs w:val="10"/>
              </w:rPr>
              <w:object w:dxaOrig="600" w:dyaOrig="380">
                <v:shape id="_x0000_i1081" type="#_x0000_t75" style="width:29.95pt;height:19pt" o:ole="">
                  <v:imagedata r:id="rId122" o:title=""/>
                </v:shape>
                <o:OLEObject Type="Embed" ProgID="Equation.3" ShapeID="_x0000_i1081" DrawAspect="Content" ObjectID="_1307787401" r:id="rId123"/>
              </w:object>
            </w:r>
          </w:p>
        </w:tc>
      </w:tr>
      <w:tr w:rsidR="00000000">
        <w:trPr>
          <w:trHeight w:val="424"/>
        </w:trPr>
        <w:tc>
          <w:tcPr>
            <w:tcW w:w="837" w:type="dxa"/>
            <w:vAlign w:val="center"/>
          </w:tcPr>
          <w:p w:rsidR="00000000" w:rsidRDefault="00BC67ED">
            <w:pPr>
              <w:rPr>
                <w:rFonts w:ascii="Arial" w:hAnsi="Arial" w:cs="Arial"/>
                <w:b/>
                <w:sz w:val="16"/>
                <w:szCs w:val="16"/>
              </w:rPr>
            </w:pPr>
            <w:r>
              <w:rPr>
                <w:rFonts w:ascii="Arial" w:hAnsi="Arial" w:cs="Arial"/>
                <w:b/>
                <w:sz w:val="16"/>
                <w:szCs w:val="16"/>
              </w:rPr>
              <w:t>Total</w:t>
            </w:r>
          </w:p>
        </w:tc>
        <w:tc>
          <w:tcPr>
            <w:tcW w:w="682" w:type="dxa"/>
            <w:vAlign w:val="center"/>
          </w:tcPr>
          <w:p w:rsidR="00000000" w:rsidRDefault="00BC67ED">
            <w:pPr>
              <w:rPr>
                <w:rFonts w:ascii="Arial" w:hAnsi="Arial" w:cs="Arial"/>
                <w:sz w:val="16"/>
                <w:szCs w:val="16"/>
              </w:rPr>
            </w:pPr>
            <w:r>
              <w:rPr>
                <w:rFonts w:ascii="Arial" w:hAnsi="Arial" w:cs="Arial"/>
                <w:position w:val="-12"/>
                <w:sz w:val="16"/>
                <w:szCs w:val="16"/>
              </w:rPr>
              <w:object w:dxaOrig="600" w:dyaOrig="380">
                <v:shape id="_x0000_i1082" type="#_x0000_t75" style="width:29.95pt;height:19pt" o:ole="">
                  <v:imagedata r:id="rId124" o:title=""/>
                </v:shape>
                <o:OLEObject Type="Embed" ProgID="Equation.3" ShapeID="_x0000_i1082" DrawAspect="Content" ObjectID="_1307787402" r:id="rId125"/>
              </w:object>
            </w:r>
          </w:p>
        </w:tc>
        <w:tc>
          <w:tcPr>
            <w:tcW w:w="526" w:type="dxa"/>
            <w:vAlign w:val="center"/>
          </w:tcPr>
          <w:p w:rsidR="00000000" w:rsidRDefault="00BC67ED">
            <w:pPr>
              <w:rPr>
                <w:rFonts w:ascii="Arial" w:hAnsi="Arial" w:cs="Arial"/>
                <w:sz w:val="10"/>
                <w:szCs w:val="10"/>
              </w:rPr>
            </w:pPr>
            <w:r>
              <w:rPr>
                <w:rFonts w:ascii="Arial" w:hAnsi="Arial" w:cs="Arial"/>
                <w:position w:val="-12"/>
                <w:sz w:val="10"/>
                <w:szCs w:val="10"/>
              </w:rPr>
              <w:object w:dxaOrig="639" w:dyaOrig="380">
                <v:shape id="_x0000_i1083" type="#_x0000_t75" style="width:31.7pt;height:19pt" o:ole="">
                  <v:imagedata r:id="rId126" o:title=""/>
                </v:shape>
                <o:OLEObject Type="Embed" ProgID="Equation.3" ShapeID="_x0000_i1083" DrawAspect="Content" ObjectID="_1307787403" r:id="rId127"/>
              </w:object>
            </w:r>
          </w:p>
        </w:tc>
        <w:tc>
          <w:tcPr>
            <w:tcW w:w="737" w:type="dxa"/>
            <w:vAlign w:val="center"/>
          </w:tcPr>
          <w:p w:rsidR="00000000" w:rsidRDefault="00BC67ED">
            <w:pPr>
              <w:rPr>
                <w:rFonts w:ascii="Arial" w:hAnsi="Arial" w:cs="Arial"/>
                <w:sz w:val="10"/>
                <w:szCs w:val="10"/>
              </w:rPr>
            </w:pPr>
            <w:r>
              <w:rPr>
                <w:rFonts w:ascii="Arial" w:hAnsi="Arial" w:cs="Arial"/>
                <w:position w:val="-12"/>
                <w:sz w:val="10"/>
                <w:szCs w:val="10"/>
              </w:rPr>
              <w:object w:dxaOrig="620" w:dyaOrig="380">
                <v:shape id="_x0000_i1084" type="#_x0000_t75" style="width:31.1pt;height:19pt" o:ole="">
                  <v:imagedata r:id="rId128" o:title=""/>
                </v:shape>
                <o:OLEObject Type="Embed" ProgID="Equation.3" ShapeID="_x0000_i1084" DrawAspect="Content" ObjectID="_1307787404" r:id="rId129"/>
              </w:object>
            </w:r>
          </w:p>
        </w:tc>
        <w:tc>
          <w:tcPr>
            <w:tcW w:w="720" w:type="dxa"/>
            <w:vAlign w:val="center"/>
          </w:tcPr>
          <w:p w:rsidR="00000000" w:rsidRDefault="00BC67ED">
            <w:pPr>
              <w:rPr>
                <w:rFonts w:ascii="Arial" w:hAnsi="Arial" w:cs="Arial"/>
                <w:sz w:val="10"/>
                <w:szCs w:val="10"/>
              </w:rPr>
            </w:pPr>
            <w:r>
              <w:rPr>
                <w:rFonts w:ascii="Arial" w:hAnsi="Arial" w:cs="Arial"/>
                <w:position w:val="-12"/>
                <w:sz w:val="10"/>
                <w:szCs w:val="10"/>
              </w:rPr>
              <w:object w:dxaOrig="600" w:dyaOrig="380">
                <v:shape id="_x0000_i1085" type="#_x0000_t75" style="width:29.95pt;height:19pt" o:ole="">
                  <v:imagedata r:id="rId130" o:title=""/>
                </v:shape>
                <o:OLEObject Type="Embed" ProgID="Equation.3" ShapeID="_x0000_i1085" DrawAspect="Content" ObjectID="_1307787405" r:id="rId131"/>
              </w:object>
            </w:r>
          </w:p>
        </w:tc>
        <w:tc>
          <w:tcPr>
            <w:tcW w:w="1161" w:type="dxa"/>
            <w:vAlign w:val="center"/>
          </w:tcPr>
          <w:p w:rsidR="00000000" w:rsidRDefault="00BC67ED">
            <w:pPr>
              <w:ind w:right="557"/>
              <w:rPr>
                <w:rFonts w:ascii="Arial" w:hAnsi="Arial" w:cs="Arial"/>
                <w:sz w:val="10"/>
                <w:szCs w:val="10"/>
              </w:rPr>
            </w:pPr>
            <w:r>
              <w:rPr>
                <w:rFonts w:ascii="Arial" w:hAnsi="Arial" w:cs="Arial"/>
                <w:position w:val="-12"/>
                <w:sz w:val="10"/>
                <w:szCs w:val="10"/>
              </w:rPr>
              <w:object w:dxaOrig="600" w:dyaOrig="380">
                <v:shape id="_x0000_i1086" type="#_x0000_t75" style="width:29.95pt;height:19pt" o:ole="">
                  <v:imagedata r:id="rId130" o:title=""/>
                </v:shape>
                <o:OLEObject Type="Embed" ProgID="Equation.3" ShapeID="_x0000_i1086" DrawAspect="Content" ObjectID="_1307787406" r:id="rId132"/>
              </w:object>
            </w:r>
          </w:p>
        </w:tc>
      </w:tr>
    </w:tbl>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lastRenderedPageBreak/>
        <w:t>Ahora, podemos utilizar las frecuencias esperadas y observadas de las celdas, para calcular el valor del</w:t>
      </w:r>
      <w:r>
        <w:rPr>
          <w:rFonts w:ascii="Arial" w:hAnsi="Arial" w:cs="Arial"/>
        </w:rPr>
        <w:t xml:space="preserve"> estadístico de la prueba:</w:t>
      </w:r>
    </w:p>
    <w:p w:rsidR="00000000" w:rsidRDefault="00BC67ED">
      <w:pPr>
        <w:spacing w:line="480" w:lineRule="auto"/>
        <w:ind w:left="723"/>
        <w:jc w:val="both"/>
        <w:rPr>
          <w:rFonts w:ascii="Arial" w:hAnsi="Arial" w:cs="Arial"/>
        </w:rPr>
      </w:pPr>
    </w:p>
    <w:p w:rsidR="00000000" w:rsidRDefault="00BC67ED">
      <w:pPr>
        <w:ind w:left="3"/>
        <w:jc w:val="center"/>
        <w:rPr>
          <w:rFonts w:ascii="Arial" w:hAnsi="Arial" w:cs="Arial"/>
        </w:rPr>
      </w:pPr>
      <w:r>
        <w:rPr>
          <w:rFonts w:ascii="Arial" w:hAnsi="Arial" w:cs="Arial"/>
          <w:position w:val="-34"/>
        </w:rPr>
        <w:object w:dxaOrig="2299" w:dyaOrig="880">
          <v:shape id="_x0000_i1087" type="#_x0000_t75" style="width:2in;height:55.3pt" o:ole="">
            <v:imagedata r:id="rId133" o:title=""/>
          </v:shape>
          <o:OLEObject Type="Embed" ProgID="Equation.3" ShapeID="_x0000_i1087" DrawAspect="Content" ObjectID="_1307787407" r:id="rId134"/>
        </w:object>
      </w:r>
    </w:p>
    <w:p w:rsidR="00000000" w:rsidRDefault="00BC67ED">
      <w:pPr>
        <w:ind w:left="3"/>
        <w:jc w:val="center"/>
        <w:rPr>
          <w:rFonts w:ascii="Arial" w:hAnsi="Arial" w:cs="Arial"/>
        </w:rPr>
      </w:pPr>
    </w:p>
    <w:p w:rsidR="00000000" w:rsidRDefault="00BC67ED">
      <w:pPr>
        <w:ind w:left="3"/>
        <w:jc w:val="center"/>
        <w:rPr>
          <w:rFonts w:ascii="Arial" w:hAnsi="Arial" w:cs="Arial"/>
        </w:rPr>
      </w:pPr>
    </w:p>
    <w:p w:rsidR="00000000" w:rsidRDefault="00BC67ED">
      <w:pPr>
        <w:spacing w:line="480" w:lineRule="auto"/>
        <w:ind w:left="723"/>
        <w:jc w:val="both"/>
        <w:rPr>
          <w:rFonts w:ascii="Arial" w:hAnsi="Arial" w:cs="Arial"/>
        </w:rPr>
      </w:pPr>
      <w:r>
        <w:rPr>
          <w:rFonts w:ascii="Arial" w:hAnsi="Arial" w:cs="Arial"/>
        </w:rPr>
        <w:t xml:space="preserve">Donde la sumatoria se extiende a todas las celdas </w:t>
      </w:r>
      <w:r>
        <w:rPr>
          <w:rFonts w:ascii="Arial" w:hAnsi="Arial" w:cs="Arial"/>
          <w:position w:val="-6"/>
        </w:rPr>
        <w:object w:dxaOrig="400" w:dyaOrig="300">
          <v:shape id="_x0000_i1088" type="#_x0000_t75" style="width:20.15pt;height:15pt" o:ole="">
            <v:imagedata r:id="rId135" o:title=""/>
          </v:shape>
          <o:OLEObject Type="Embed" ProgID="Equation.3" ShapeID="_x0000_i1088" DrawAspect="Content" ObjectID="_1307787408" r:id="rId136"/>
        </w:object>
      </w:r>
      <w:r>
        <w:rPr>
          <w:rFonts w:ascii="Arial" w:hAnsi="Arial" w:cs="Arial"/>
        </w:rPr>
        <w:t xml:space="preserve"> en la tabla de contingencia r x c. Si </w:t>
      </w:r>
      <w:r>
        <w:rPr>
          <w:rFonts w:ascii="Arial" w:hAnsi="Arial" w:cs="Arial"/>
          <w:position w:val="-12"/>
        </w:rPr>
        <w:object w:dxaOrig="999" w:dyaOrig="420">
          <v:shape id="_x0000_i1089" type="#_x0000_t75" style="width:50.1pt;height:20.75pt" o:ole="">
            <v:imagedata r:id="rId137" o:title=""/>
          </v:shape>
          <o:OLEObject Type="Embed" ProgID="Equation.3" ShapeID="_x0000_i1089" DrawAspect="Content" ObjectID="_1307787409" r:id="rId138"/>
        </w:object>
      </w:r>
      <w:r>
        <w:rPr>
          <w:rFonts w:ascii="Arial" w:hAnsi="Arial" w:cs="Arial"/>
          <w:b/>
        </w:rPr>
        <w:t xml:space="preserve"> </w:t>
      </w:r>
      <w:r>
        <w:rPr>
          <w:rFonts w:ascii="Arial" w:hAnsi="Arial" w:cs="Arial"/>
        </w:rPr>
        <w:t xml:space="preserve">con </w:t>
      </w:r>
      <w:r>
        <w:rPr>
          <w:rFonts w:ascii="Arial" w:hAnsi="Arial" w:cs="Arial"/>
          <w:b/>
        </w:rPr>
        <w:t>v = (r-1) (c-1)</w:t>
      </w:r>
      <w:r>
        <w:rPr>
          <w:rFonts w:ascii="Arial" w:hAnsi="Arial" w:cs="Arial"/>
        </w:rPr>
        <w:t xml:space="preserve"> grados de libertad, se rechaza la hipótesis nu</w:t>
      </w:r>
      <w:r>
        <w:rPr>
          <w:rFonts w:ascii="Arial" w:hAnsi="Arial" w:cs="Arial"/>
        </w:rPr>
        <w:t xml:space="preserve">la de independencia en el nivel de significancia </w:t>
      </w:r>
      <w:r>
        <w:rPr>
          <w:rFonts w:ascii="Arial" w:hAnsi="Arial" w:cs="Arial"/>
          <w:position w:val="-6"/>
        </w:rPr>
        <w:object w:dxaOrig="279" w:dyaOrig="260">
          <v:shape id="_x0000_i1090" type="#_x0000_t75" style="width:13.8pt;height:13.25pt" o:ole="">
            <v:imagedata r:id="rId139" o:title=""/>
          </v:shape>
          <o:OLEObject Type="Embed" ProgID="Equation.3" ShapeID="_x0000_i1090" DrawAspect="Content" ObjectID="_1307787410" r:id="rId140"/>
        </w:object>
      </w:r>
      <w:r>
        <w:rPr>
          <w:rFonts w:ascii="Arial" w:hAnsi="Arial" w:cs="Arial"/>
        </w:rPr>
        <w:t>; de lo contrario, se acepta la hipótesis nula.</w:t>
      </w:r>
    </w:p>
    <w:p w:rsidR="00000000" w:rsidRDefault="00BC67ED">
      <w:pPr>
        <w:spacing w:line="480" w:lineRule="auto"/>
        <w:jc w:val="both"/>
        <w:rPr>
          <w:rFonts w:ascii="Arial" w:hAnsi="Arial" w:cs="Arial"/>
          <w:b/>
          <w:caps/>
        </w:rPr>
      </w:pPr>
    </w:p>
    <w:p w:rsidR="00000000" w:rsidRDefault="00BC67ED" w:rsidP="00BC67ED">
      <w:pPr>
        <w:numPr>
          <w:ilvl w:val="1"/>
          <w:numId w:val="28"/>
        </w:numPr>
        <w:tabs>
          <w:tab w:val="clear" w:pos="1797"/>
          <w:tab w:val="num" w:pos="720"/>
        </w:tabs>
        <w:spacing w:line="480" w:lineRule="auto"/>
        <w:ind w:left="720"/>
        <w:jc w:val="both"/>
        <w:rPr>
          <w:rFonts w:ascii="Arial" w:hAnsi="Arial" w:cs="Arial"/>
          <w:b/>
        </w:rPr>
      </w:pPr>
      <w:r>
        <w:rPr>
          <w:rFonts w:ascii="Arial" w:hAnsi="Arial" w:cs="Arial"/>
          <w:b/>
          <w:spacing w:val="20"/>
        </w:rPr>
        <w:t>TECNICAS MULTIVARIADAS</w:t>
      </w: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spacing w:val="20"/>
        </w:rPr>
        <w:t>Métodos Multivariados Aplicados</w:t>
      </w:r>
    </w:p>
    <w:p w:rsidR="00000000" w:rsidRDefault="00BC67ED">
      <w:pPr>
        <w:spacing w:line="480" w:lineRule="auto"/>
        <w:ind w:left="708"/>
        <w:jc w:val="both"/>
        <w:rPr>
          <w:rFonts w:ascii="Arial" w:hAnsi="Arial" w:cs="Arial"/>
        </w:rPr>
      </w:pPr>
      <w:r>
        <w:rPr>
          <w:rFonts w:ascii="Arial" w:hAnsi="Arial" w:cs="Arial"/>
        </w:rPr>
        <w:t>Los datos de variable múltiples se presentan en todas las ramas de la ciencia. C</w:t>
      </w:r>
      <w:r>
        <w:rPr>
          <w:rFonts w:ascii="Arial" w:hAnsi="Arial" w:cs="Arial"/>
        </w:rPr>
        <w:t>asi todos los datos reunidos actualmente por los investigadores se pueden clasificar como de variables múltiples. Por ejemplo un investigador de mercados podría querer identificar las características de los individuos que le permitirían determinar si es pr</w:t>
      </w:r>
      <w:r>
        <w:rPr>
          <w:rFonts w:ascii="Arial" w:hAnsi="Arial" w:cs="Arial"/>
        </w:rPr>
        <w:t>obable que una persona compre un producto específico.</w:t>
      </w:r>
    </w:p>
    <w:p w:rsidR="00000000" w:rsidRDefault="00BC67ED">
      <w:pPr>
        <w:ind w:left="711"/>
        <w:jc w:val="both"/>
        <w:rPr>
          <w:rFonts w:ascii="Arial" w:hAnsi="Arial" w:cs="Arial"/>
        </w:rPr>
      </w:pPr>
    </w:p>
    <w:p w:rsidR="00000000" w:rsidRDefault="00BC67ED">
      <w:pPr>
        <w:ind w:left="711"/>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La medición y evaluación de unidades experimentales es una actividad principal de la mayoría de los investigadores, como ejemplo de </w:t>
      </w:r>
      <w:r>
        <w:rPr>
          <w:rFonts w:ascii="Arial" w:hAnsi="Arial" w:cs="Arial"/>
        </w:rPr>
        <w:lastRenderedPageBreak/>
        <w:t>unidades experimentales citamos; las personas, los insectos, los ani</w:t>
      </w:r>
      <w:r>
        <w:rPr>
          <w:rFonts w:ascii="Arial" w:hAnsi="Arial" w:cs="Arial"/>
        </w:rPr>
        <w:t>males, los campos, los terrenos, las compañías, los árboles, los granos de trigo, los países. Se obtienen datos de variables múltiples siempre que un investigador mide o evalúa más de un atributo o característica de cada unidad experimental.</w: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rPr>
        <w:t>Panorama Gene</w:t>
      </w:r>
      <w:r>
        <w:rPr>
          <w:rFonts w:ascii="Arial" w:hAnsi="Arial" w:cs="Arial"/>
          <w:b/>
        </w:rPr>
        <w:t>ral de los Métodos Multivariados.</w:t>
      </w:r>
    </w:p>
    <w:p w:rsidR="00000000" w:rsidRDefault="00BC67ED">
      <w:pPr>
        <w:spacing w:line="480" w:lineRule="auto"/>
        <w:ind w:left="714"/>
        <w:jc w:val="both"/>
        <w:rPr>
          <w:rFonts w:ascii="Arial" w:hAnsi="Arial" w:cs="Arial"/>
        </w:rPr>
      </w:pPr>
      <w:r>
        <w:rPr>
          <w:rFonts w:ascii="Arial" w:hAnsi="Arial" w:cs="Arial"/>
        </w:rPr>
        <w:t>Los métodos multivariados son extraordinariamente útiles para ayudar a los investigadores a hacer que tengan sentido conjuntos grandes, complicados y complejos de datos que constan de una gran cantidad de variables medidas</w:t>
      </w:r>
      <w:r>
        <w:rPr>
          <w:rFonts w:ascii="Arial" w:hAnsi="Arial" w:cs="Arial"/>
        </w:rPr>
        <w:t xml:space="preserve"> en números grandes de unidades experimentales. La importancia y la utilidad de los métodos multivariados aumentan al incrementarse el número de variables que se están midiendo y el número de unidades experimentales que se están evaluando.</w:t>
      </w:r>
    </w:p>
    <w:p w:rsidR="00000000" w:rsidRDefault="00BC67ED">
      <w:pPr>
        <w:ind w:left="717"/>
        <w:jc w:val="both"/>
        <w:rPr>
          <w:rFonts w:ascii="Arial" w:hAnsi="Arial" w:cs="Arial"/>
        </w:rPr>
      </w:pPr>
    </w:p>
    <w:p w:rsidR="00000000" w:rsidRDefault="00BC67ED">
      <w:pPr>
        <w:ind w:left="717"/>
        <w:jc w:val="both"/>
        <w:rPr>
          <w:rFonts w:ascii="Arial" w:hAnsi="Arial" w:cs="Arial"/>
        </w:rPr>
      </w:pPr>
    </w:p>
    <w:p w:rsidR="00000000" w:rsidRDefault="00BC67ED">
      <w:pPr>
        <w:spacing w:line="480" w:lineRule="auto"/>
        <w:ind w:left="714"/>
        <w:jc w:val="both"/>
        <w:rPr>
          <w:rFonts w:ascii="Arial" w:hAnsi="Arial" w:cs="Arial"/>
        </w:rPr>
      </w:pPr>
      <w:r>
        <w:rPr>
          <w:rFonts w:ascii="Arial" w:hAnsi="Arial" w:cs="Arial"/>
        </w:rPr>
        <w:t>El objetivo pr</w:t>
      </w:r>
      <w:r>
        <w:rPr>
          <w:rFonts w:ascii="Arial" w:hAnsi="Arial" w:cs="Arial"/>
        </w:rPr>
        <w:t>imario de los análisis multivariados es resumir grandes cantidades de datos por medio de pocos parámetros.</w:t>
      </w:r>
    </w:p>
    <w:p w:rsidR="00000000" w:rsidRDefault="00BC67ED">
      <w:pPr>
        <w:spacing w:line="480" w:lineRule="auto"/>
        <w:ind w:left="714"/>
        <w:jc w:val="both"/>
        <w:rPr>
          <w:rFonts w:ascii="Arial" w:hAnsi="Arial" w:cs="Arial"/>
        </w:rPr>
      </w:pPr>
      <w:r>
        <w:rPr>
          <w:rFonts w:ascii="Arial" w:hAnsi="Arial" w:cs="Arial"/>
        </w:rPr>
        <w:t xml:space="preserve">El interés de los análisis multivariados es encontrar relaciones entre las variables de respuesta, las unidades experimentales y tanto las variables </w:t>
      </w:r>
      <w:r>
        <w:rPr>
          <w:rFonts w:ascii="Arial" w:hAnsi="Arial" w:cs="Arial"/>
        </w:rPr>
        <w:t>respuesta como las unidades experimentales.</w:t>
      </w:r>
    </w:p>
    <w:p w:rsidR="00000000" w:rsidRDefault="00BC67ED">
      <w:pPr>
        <w:spacing w:line="480" w:lineRule="auto"/>
        <w:ind w:left="714"/>
        <w:jc w:val="both"/>
        <w:rPr>
          <w:rFonts w:ascii="Arial" w:hAnsi="Arial" w:cs="Arial"/>
        </w:rPr>
      </w:pPr>
      <w:r>
        <w:rPr>
          <w:rFonts w:ascii="Arial" w:hAnsi="Arial" w:cs="Arial"/>
        </w:rPr>
        <w:lastRenderedPageBreak/>
        <w:t>Muchas técnicas multivariadas tienden a ser de naturaleza exploratoria en lugar de confirmatoria, es decir tienden a motivar hipótesis en lugar de probarlas.</w: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rPr>
        <w:t>Técnicas Dirigidas por las Variables y por los Indivi</w:t>
      </w:r>
      <w:r>
        <w:rPr>
          <w:rFonts w:ascii="Arial" w:hAnsi="Arial" w:cs="Arial"/>
          <w:b/>
        </w:rPr>
        <w:t>duos</w:t>
      </w:r>
    </w:p>
    <w:p w:rsidR="00000000" w:rsidRDefault="00BC67ED">
      <w:pPr>
        <w:spacing w:line="480" w:lineRule="auto"/>
        <w:ind w:left="708"/>
        <w:jc w:val="both"/>
        <w:rPr>
          <w:rFonts w:ascii="Arial" w:hAnsi="Arial" w:cs="Arial"/>
        </w:rPr>
      </w:pPr>
      <w:r>
        <w:rPr>
          <w:rFonts w:ascii="Arial" w:hAnsi="Arial" w:cs="Arial"/>
        </w:rPr>
        <w:t>Las técnicas dirigidas por las variables son aquellas que se enfocan en las relaciones que podrían existir entre las variables respuesta que se están midiendo. Algunos ejemplos de este tipo de técnicas se encuentran en los análisis realizados sobre la</w:t>
      </w:r>
      <w:r>
        <w:rPr>
          <w:rFonts w:ascii="Arial" w:hAnsi="Arial" w:cs="Arial"/>
        </w:rPr>
        <w:t>s matrices de correlación, el análisis de componentes principales, el análisis por factores, el análisis de regresión y el análisis de correlación canónica.</w:t>
      </w:r>
    </w:p>
    <w:p w:rsidR="00000000" w:rsidRDefault="00BC67ED">
      <w:pPr>
        <w:ind w:left="711"/>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Las técnicas dirigidas por los individuos</w:t>
      </w:r>
      <w:r>
        <w:rPr>
          <w:rFonts w:ascii="Arial" w:hAnsi="Arial" w:cs="Arial"/>
          <w:i/>
        </w:rPr>
        <w:t xml:space="preserve"> </w:t>
      </w:r>
      <w:r>
        <w:rPr>
          <w:rFonts w:ascii="Arial" w:hAnsi="Arial" w:cs="Arial"/>
        </w:rPr>
        <w:t>son las que se interesan en las relaciones que podrían e</w:t>
      </w:r>
      <w:r>
        <w:rPr>
          <w:rFonts w:ascii="Arial" w:hAnsi="Arial" w:cs="Arial"/>
        </w:rPr>
        <w:t>xistir entre las unidades experimentales o individuos que se están midiendo, o en ambos. Ejemplos de este tipo de técnicas se encuentra el análisis discriminante, el análisis por agrupación, y el análisis multivariado de la varianza (MANOVA).</w:t>
      </w:r>
    </w:p>
    <w:p w:rsidR="00000000" w:rsidRDefault="00BC67ED">
      <w:pPr>
        <w:ind w:left="711"/>
        <w:jc w:val="both"/>
        <w:rPr>
          <w:rFonts w:ascii="Arial" w:hAnsi="Arial" w:cs="Arial"/>
        </w:rPr>
      </w:pPr>
    </w:p>
    <w:p w:rsidR="00000000" w:rsidRDefault="00BC67ED">
      <w:pPr>
        <w:ind w:left="711"/>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Muchos méto</w:t>
      </w:r>
      <w:r>
        <w:rPr>
          <w:rFonts w:ascii="Arial" w:hAnsi="Arial" w:cs="Arial"/>
        </w:rPr>
        <w:t>dos multivariados ayudan a los investigadores a crear nuevas variables que tengan propiedades deseables.</w:t>
      </w:r>
    </w:p>
    <w:p w:rsidR="00000000" w:rsidRDefault="00BC67ED">
      <w:pPr>
        <w:spacing w:line="480" w:lineRule="auto"/>
        <w:ind w:left="708"/>
        <w:jc w:val="both"/>
        <w:rPr>
          <w:rFonts w:ascii="Arial" w:hAnsi="Arial" w:cs="Arial"/>
        </w:rPr>
      </w:pPr>
      <w:r>
        <w:rPr>
          <w:rFonts w:ascii="Arial" w:hAnsi="Arial" w:cs="Arial"/>
        </w:rPr>
        <w:t xml:space="preserve">Algunas técnicas multivariadas que crean nuevas variables son el análisis de componentes principales, el análisis por factores, el análisis </w:t>
      </w:r>
      <w:r>
        <w:rPr>
          <w:rFonts w:ascii="Arial" w:hAnsi="Arial" w:cs="Arial"/>
        </w:rPr>
        <w:lastRenderedPageBreak/>
        <w:t>de correlac</w:t>
      </w:r>
      <w:r>
        <w:rPr>
          <w:rFonts w:ascii="Arial" w:hAnsi="Arial" w:cs="Arial"/>
        </w:rPr>
        <w:t>ión canónica, el análisis discriminante canónico y el análisis de variables canónicas.</w:t>
      </w:r>
    </w:p>
    <w:p w:rsidR="00000000" w:rsidRDefault="00BC67ED">
      <w:pPr>
        <w:spacing w:line="480" w:lineRule="auto"/>
        <w:jc w:val="both"/>
        <w:rPr>
          <w:rFonts w:ascii="Arial" w:hAnsi="Arial" w:cs="Arial"/>
        </w:rPr>
      </w:pPr>
    </w:p>
    <w:p w:rsidR="00000000" w:rsidRDefault="00BC67ED" w:rsidP="00BC67ED">
      <w:pPr>
        <w:numPr>
          <w:ilvl w:val="1"/>
          <w:numId w:val="28"/>
        </w:numPr>
        <w:tabs>
          <w:tab w:val="clear" w:pos="1797"/>
          <w:tab w:val="num" w:pos="720"/>
        </w:tabs>
        <w:spacing w:line="480" w:lineRule="auto"/>
        <w:ind w:left="720"/>
        <w:jc w:val="both"/>
        <w:rPr>
          <w:rFonts w:ascii="Arial" w:hAnsi="Arial" w:cs="Arial"/>
          <w:b/>
        </w:rPr>
      </w:pPr>
      <w:r>
        <w:rPr>
          <w:rFonts w:ascii="Arial" w:hAnsi="Arial" w:cs="Arial"/>
          <w:b/>
          <w:spacing w:val="20"/>
        </w:rPr>
        <w:t>Componentes Principales</w:t>
      </w:r>
    </w:p>
    <w:p w:rsidR="00000000" w:rsidRDefault="00BC67ED">
      <w:pPr>
        <w:spacing w:line="480" w:lineRule="auto"/>
        <w:ind w:left="705" w:right="40"/>
        <w:jc w:val="both"/>
        <w:rPr>
          <w:rFonts w:ascii="Arial" w:hAnsi="Arial" w:cs="Arial"/>
        </w:rPr>
      </w:pPr>
      <w:r>
        <w:rPr>
          <w:rFonts w:ascii="Arial" w:hAnsi="Arial" w:cs="Arial"/>
        </w:rPr>
        <w:t>El análisis de componentes principales se encuentra estrechamente relacionado con la estructura de la varianza y Covarianza de un conjunto de va</w:t>
      </w:r>
      <w:r>
        <w:rPr>
          <w:rFonts w:ascii="Arial" w:hAnsi="Arial" w:cs="Arial"/>
        </w:rPr>
        <w:t>riables a través de una combinación lineal de esas variables.</w:t>
      </w:r>
    </w:p>
    <w:p w:rsidR="00000000" w:rsidRDefault="00BC67ED">
      <w:pPr>
        <w:spacing w:line="480" w:lineRule="auto"/>
        <w:ind w:left="705" w:right="40"/>
        <w:jc w:val="both"/>
        <w:rPr>
          <w:rFonts w:ascii="Arial" w:hAnsi="Arial" w:cs="Arial"/>
        </w:rPr>
      </w:pPr>
      <w:r>
        <w:rPr>
          <w:rFonts w:ascii="Arial" w:hAnsi="Arial" w:cs="Arial"/>
        </w:rPr>
        <w:t xml:space="preserve">Los objetivos generales de estos son: la reducción de datos, y la interpretación, esto se logra a través de p componentes que son requeridas para reproducir el sistema total de la variabilidad, </w:t>
      </w:r>
      <w:r>
        <w:rPr>
          <w:rFonts w:ascii="Arial" w:hAnsi="Arial" w:cs="Arial"/>
        </w:rPr>
        <w:t>mucha de esta variabilidad puede ser contenida en un pequeño número  k que llamaremos componentes principales. Si existe información en la k componentes como existe en las p variables originales, y el conjunto original de datos, compuesto por n medidas sob</w:t>
      </w:r>
      <w:r>
        <w:rPr>
          <w:rFonts w:ascii="Arial" w:hAnsi="Arial" w:cs="Arial"/>
        </w:rPr>
        <w:t>re p variables, es reducido a un conjunto de datos que consiste de n medidas sobre k componentes principales.</w:t>
      </w:r>
    </w:p>
    <w:p w:rsidR="00000000" w:rsidRDefault="00BC67ED">
      <w:pPr>
        <w:ind w:left="708" w:right="42"/>
        <w:jc w:val="both"/>
        <w:rPr>
          <w:rFonts w:ascii="Arial" w:hAnsi="Arial" w:cs="Arial"/>
        </w:rPr>
      </w:pPr>
    </w:p>
    <w:p w:rsidR="00000000" w:rsidRDefault="00BC67ED">
      <w:pPr>
        <w:ind w:left="708" w:right="42"/>
        <w:jc w:val="both"/>
        <w:rPr>
          <w:rFonts w:ascii="Arial" w:hAnsi="Arial" w:cs="Arial"/>
        </w:rPr>
      </w:pPr>
    </w:p>
    <w:p w:rsidR="00000000" w:rsidRDefault="00BC67ED">
      <w:pPr>
        <w:spacing w:line="480" w:lineRule="auto"/>
        <w:ind w:left="705" w:right="40"/>
        <w:jc w:val="both"/>
        <w:rPr>
          <w:rFonts w:ascii="Arial" w:hAnsi="Arial" w:cs="Arial"/>
        </w:rPr>
      </w:pPr>
      <w:r>
        <w:rPr>
          <w:rFonts w:ascii="Arial" w:hAnsi="Arial" w:cs="Arial"/>
        </w:rPr>
        <w:t>Un análisis de componentes principales frecuentemente da a conocer relaciones que previamente no se esperaban, permitiendo realizar interpretaci</w:t>
      </w:r>
      <w:r>
        <w:rPr>
          <w:rFonts w:ascii="Arial" w:hAnsi="Arial" w:cs="Arial"/>
        </w:rPr>
        <w:t xml:space="preserve">ones que puede tener un resultado no familiar u ordinario , </w:t>
      </w:r>
      <w:r>
        <w:rPr>
          <w:rFonts w:ascii="Arial" w:hAnsi="Arial" w:cs="Arial"/>
        </w:rPr>
        <w:lastRenderedPageBreak/>
        <w:t>en investigaciones de tamaño grande resulta muy útil trabajar con esta técnica multivariada.</w: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spacing w:val="20"/>
        </w:rPr>
        <w:t>Fundamentos</w:t>
      </w:r>
    </w:p>
    <w:p w:rsidR="00000000" w:rsidRDefault="00BC67ED">
      <w:pPr>
        <w:spacing w:line="480" w:lineRule="auto"/>
        <w:ind w:left="708" w:right="40"/>
        <w:jc w:val="both"/>
        <w:rPr>
          <w:rFonts w:ascii="Arial" w:hAnsi="Arial" w:cs="Arial"/>
        </w:rPr>
      </w:pPr>
      <w:r>
        <w:rPr>
          <w:rFonts w:ascii="Arial" w:hAnsi="Arial" w:cs="Arial"/>
        </w:rPr>
        <w:t>Las componentes principales son combinaciones lineales de las p variables aleatorias origi</w:t>
      </w:r>
      <w:r>
        <w:rPr>
          <w:rFonts w:ascii="Arial" w:hAnsi="Arial" w:cs="Arial"/>
        </w:rPr>
        <w:t xml:space="preserve">nales </w:t>
      </w:r>
      <w:r>
        <w:rPr>
          <w:rFonts w:ascii="Arial" w:hAnsi="Arial" w:cs="Arial"/>
          <w:b/>
        </w:rPr>
        <w:t>X</w:t>
      </w:r>
      <w:r>
        <w:rPr>
          <w:rFonts w:ascii="Arial" w:hAnsi="Arial" w:cs="Arial"/>
          <w:vertAlign w:val="subscript"/>
        </w:rPr>
        <w:t>1</w:t>
      </w:r>
      <w:r>
        <w:rPr>
          <w:rFonts w:ascii="Arial" w:hAnsi="Arial" w:cs="Arial"/>
        </w:rPr>
        <w:t>,</w:t>
      </w:r>
      <w:r>
        <w:rPr>
          <w:rFonts w:ascii="Arial" w:hAnsi="Arial" w:cs="Arial"/>
          <w:b/>
        </w:rPr>
        <w:t>X</w:t>
      </w:r>
      <w:r>
        <w:rPr>
          <w:rFonts w:ascii="Arial" w:hAnsi="Arial" w:cs="Arial"/>
          <w:vertAlign w:val="subscript"/>
        </w:rPr>
        <w:t>2</w:t>
      </w:r>
      <w:r>
        <w:rPr>
          <w:rFonts w:ascii="Arial" w:hAnsi="Arial" w:cs="Arial"/>
        </w:rPr>
        <w:t>,……</w:t>
      </w:r>
      <w:r>
        <w:rPr>
          <w:rFonts w:ascii="Arial" w:hAnsi="Arial" w:cs="Arial"/>
          <w:b/>
        </w:rPr>
        <w:t>X</w:t>
      </w:r>
      <w:r>
        <w:rPr>
          <w:rFonts w:ascii="Arial" w:hAnsi="Arial" w:cs="Arial"/>
          <w:vertAlign w:val="subscript"/>
        </w:rPr>
        <w:t xml:space="preserve">p. </w:t>
      </w:r>
      <w:r>
        <w:rPr>
          <w:rFonts w:ascii="Arial" w:hAnsi="Arial" w:cs="Arial"/>
        </w:rPr>
        <w:t xml:space="preserve">Estas combinaciones lineales geométricamente representan un nuevo sistema coordenado, obtenido por la rotación del sistema original, en el cual los ejes coordenados serán </w:t>
      </w:r>
      <w:r>
        <w:rPr>
          <w:rFonts w:ascii="Arial" w:hAnsi="Arial" w:cs="Arial"/>
          <w:b/>
        </w:rPr>
        <w:t>X</w:t>
      </w:r>
      <w:r>
        <w:rPr>
          <w:rFonts w:ascii="Arial" w:hAnsi="Arial" w:cs="Arial"/>
          <w:vertAlign w:val="subscript"/>
        </w:rPr>
        <w:t>1</w:t>
      </w:r>
      <w:r>
        <w:rPr>
          <w:rFonts w:ascii="Arial" w:hAnsi="Arial" w:cs="Arial"/>
        </w:rPr>
        <w:t>,</w:t>
      </w:r>
      <w:r>
        <w:rPr>
          <w:rFonts w:ascii="Arial" w:hAnsi="Arial" w:cs="Arial"/>
          <w:b/>
        </w:rPr>
        <w:t>X</w:t>
      </w:r>
      <w:r>
        <w:rPr>
          <w:rFonts w:ascii="Arial" w:hAnsi="Arial" w:cs="Arial"/>
          <w:vertAlign w:val="subscript"/>
        </w:rPr>
        <w:t>2</w:t>
      </w:r>
      <w:r>
        <w:rPr>
          <w:rFonts w:ascii="Arial" w:hAnsi="Arial" w:cs="Arial"/>
        </w:rPr>
        <w:t>,……</w:t>
      </w:r>
      <w:r>
        <w:rPr>
          <w:rFonts w:ascii="Arial" w:hAnsi="Arial" w:cs="Arial"/>
          <w:b/>
        </w:rPr>
        <w:t>X</w:t>
      </w:r>
      <w:r>
        <w:rPr>
          <w:rFonts w:ascii="Arial" w:hAnsi="Arial" w:cs="Arial"/>
          <w:vertAlign w:val="subscript"/>
        </w:rPr>
        <w:t xml:space="preserve">p. </w:t>
      </w:r>
      <w:r>
        <w:rPr>
          <w:rFonts w:ascii="Arial" w:hAnsi="Arial" w:cs="Arial"/>
        </w:rPr>
        <w:t xml:space="preserve">Los nuevos ejes representan la dirección que maximizan </w:t>
      </w:r>
      <w:r>
        <w:rPr>
          <w:rFonts w:ascii="Arial" w:hAnsi="Arial" w:cs="Arial"/>
        </w:rPr>
        <w:t>la variabilidad y provee una simple descripción de la estructura de la Covarianza.</w:t>
      </w:r>
    </w:p>
    <w:p w:rsidR="00000000" w:rsidRDefault="00BC67ED">
      <w:pPr>
        <w:ind w:right="42"/>
        <w:jc w:val="both"/>
        <w:rPr>
          <w:rFonts w:ascii="Arial" w:hAnsi="Arial" w:cs="Arial"/>
        </w:rPr>
      </w:pPr>
    </w:p>
    <w:p w:rsidR="00000000" w:rsidRDefault="00BC67ED">
      <w:pPr>
        <w:ind w:right="42"/>
        <w:jc w:val="both"/>
        <w:rPr>
          <w:rFonts w:ascii="Arial" w:hAnsi="Arial" w:cs="Arial"/>
        </w:rPr>
      </w:pPr>
    </w:p>
    <w:p w:rsidR="00000000" w:rsidRDefault="00BC67ED">
      <w:pPr>
        <w:spacing w:line="480" w:lineRule="auto"/>
        <w:ind w:left="708" w:right="40"/>
        <w:jc w:val="both"/>
        <w:rPr>
          <w:rFonts w:ascii="Arial" w:hAnsi="Arial" w:cs="Arial"/>
        </w:rPr>
      </w:pPr>
      <w:r>
        <w:rPr>
          <w:rFonts w:ascii="Arial" w:hAnsi="Arial" w:cs="Arial"/>
        </w:rPr>
        <w:t xml:space="preserve">Como ya se mencionó las componentes principales dependen solamente de la matriz de Covarianza </w:t>
      </w:r>
      <w:r>
        <w:rPr>
          <w:rFonts w:ascii="Arial" w:hAnsi="Arial" w:cs="Arial"/>
          <w:position w:val="-4"/>
        </w:rPr>
        <w:object w:dxaOrig="240" w:dyaOrig="279">
          <v:shape id="_x0000_i1091" type="#_x0000_t75" style="width:12.1pt;height:13.8pt" o:ole="">
            <v:imagedata r:id="rId141" o:title=""/>
          </v:shape>
          <o:OLEObject Type="Embed" ProgID="Equation.3" ShapeID="_x0000_i1091" DrawAspect="Content" ObjectID="_1307787411" r:id="rId142"/>
        </w:object>
      </w:r>
      <w:r>
        <w:rPr>
          <w:rFonts w:ascii="Arial" w:hAnsi="Arial" w:cs="Arial"/>
        </w:rPr>
        <w:t xml:space="preserve"> o de la matriz de correlación </w:t>
      </w:r>
      <w:r>
        <w:rPr>
          <w:rFonts w:ascii="Arial" w:hAnsi="Arial" w:cs="Arial"/>
          <w:position w:val="-10"/>
        </w:rPr>
        <w:object w:dxaOrig="260" w:dyaOrig="279">
          <v:shape id="_x0000_i1092" type="#_x0000_t75" style="width:13.25pt;height:13.8pt" o:ole="">
            <v:imagedata r:id="rId143" o:title=""/>
          </v:shape>
          <o:OLEObject Type="Embed" ProgID="Equation.3" ShapeID="_x0000_i1092" DrawAspect="Content" ObjectID="_1307787412" r:id="rId144"/>
        </w:object>
      </w:r>
      <w:r>
        <w:rPr>
          <w:rFonts w:ascii="Arial" w:hAnsi="Arial" w:cs="Arial"/>
        </w:rPr>
        <w:t xml:space="preserve">de </w:t>
      </w:r>
      <w:r>
        <w:rPr>
          <w:rFonts w:ascii="Arial" w:hAnsi="Arial" w:cs="Arial"/>
          <w:b/>
        </w:rPr>
        <w:t>X</w:t>
      </w:r>
      <w:r>
        <w:rPr>
          <w:rFonts w:ascii="Arial" w:hAnsi="Arial" w:cs="Arial"/>
          <w:vertAlign w:val="subscript"/>
        </w:rPr>
        <w:t>1</w:t>
      </w:r>
      <w:r>
        <w:rPr>
          <w:rFonts w:ascii="Arial" w:hAnsi="Arial" w:cs="Arial"/>
        </w:rPr>
        <w:t>,</w:t>
      </w:r>
      <w:r>
        <w:rPr>
          <w:rFonts w:ascii="Arial" w:hAnsi="Arial" w:cs="Arial"/>
          <w:b/>
        </w:rPr>
        <w:t>X</w:t>
      </w:r>
      <w:r>
        <w:rPr>
          <w:rFonts w:ascii="Arial" w:hAnsi="Arial" w:cs="Arial"/>
          <w:vertAlign w:val="subscript"/>
        </w:rPr>
        <w:t>2</w:t>
      </w:r>
      <w:r>
        <w:rPr>
          <w:rFonts w:ascii="Arial" w:hAnsi="Arial" w:cs="Arial"/>
        </w:rPr>
        <w:t>,……</w:t>
      </w:r>
      <w:r>
        <w:rPr>
          <w:rFonts w:ascii="Arial" w:hAnsi="Arial" w:cs="Arial"/>
          <w:b/>
        </w:rPr>
        <w:t>X</w:t>
      </w:r>
      <w:r>
        <w:rPr>
          <w:rFonts w:ascii="Arial" w:hAnsi="Arial" w:cs="Arial"/>
          <w:vertAlign w:val="subscript"/>
        </w:rPr>
        <w:t xml:space="preserve">p. </w:t>
      </w:r>
      <w:r>
        <w:rPr>
          <w:rFonts w:ascii="Arial" w:hAnsi="Arial" w:cs="Arial"/>
        </w:rPr>
        <w:t>No es necesario que las variables originales sean normales multivariadas.</w:t>
      </w:r>
    </w:p>
    <w:p w:rsidR="00000000" w:rsidRDefault="00BC67ED">
      <w:pPr>
        <w:ind w:right="42"/>
        <w:jc w:val="both"/>
        <w:rPr>
          <w:rFonts w:ascii="Arial" w:hAnsi="Arial" w:cs="Arial"/>
        </w:rPr>
      </w:pPr>
    </w:p>
    <w:p w:rsidR="00000000" w:rsidRDefault="00BC67ED">
      <w:pPr>
        <w:ind w:right="42"/>
        <w:jc w:val="both"/>
        <w:rPr>
          <w:rFonts w:ascii="Arial" w:hAnsi="Arial" w:cs="Arial"/>
        </w:rPr>
      </w:pPr>
    </w:p>
    <w:p w:rsidR="00000000" w:rsidRDefault="00BC67ED">
      <w:pPr>
        <w:spacing w:line="480" w:lineRule="auto"/>
        <w:ind w:left="708" w:right="40"/>
        <w:jc w:val="both"/>
        <w:rPr>
          <w:rFonts w:ascii="Arial" w:hAnsi="Arial" w:cs="Arial"/>
        </w:rPr>
      </w:pPr>
      <w:r>
        <w:rPr>
          <w:rFonts w:ascii="Arial" w:hAnsi="Arial" w:cs="Arial"/>
        </w:rPr>
        <w:t xml:space="preserve">Sea el vector aleatorio </w:t>
      </w:r>
      <w:r>
        <w:rPr>
          <w:rFonts w:ascii="Arial" w:hAnsi="Arial" w:cs="Arial"/>
          <w:position w:val="-12"/>
        </w:rPr>
        <w:object w:dxaOrig="2980" w:dyaOrig="660">
          <v:shape id="_x0000_i1093" type="#_x0000_t75" style="width:149.2pt;height:32.85pt" o:ole="">
            <v:imagedata r:id="rId145" o:title=""/>
          </v:shape>
          <o:OLEObject Type="Embed" ProgID="Equation.3" ShapeID="_x0000_i1093" DrawAspect="Content" ObjectID="_1307787413" r:id="rId146"/>
        </w:object>
      </w:r>
      <w:r>
        <w:rPr>
          <w:rFonts w:ascii="Arial" w:hAnsi="Arial" w:cs="Arial"/>
        </w:rPr>
        <w:t xml:space="preserve">con su matriz de Covarianza </w:t>
      </w:r>
      <w:r>
        <w:rPr>
          <w:rFonts w:ascii="Arial" w:hAnsi="Arial" w:cs="Arial"/>
          <w:position w:val="-4"/>
        </w:rPr>
        <w:object w:dxaOrig="240" w:dyaOrig="279">
          <v:shape id="_x0000_i1094" type="#_x0000_t75" style="width:12.1pt;height:13.8pt" o:ole="">
            <v:imagedata r:id="rId141" o:title=""/>
          </v:shape>
          <o:OLEObject Type="Embed" ProgID="Equation.3" ShapeID="_x0000_i1094" DrawAspect="Content" ObjectID="_1307787414" r:id="rId147"/>
        </w:object>
      </w:r>
      <w:r>
        <w:rPr>
          <w:rFonts w:ascii="Arial" w:hAnsi="Arial" w:cs="Arial"/>
        </w:rPr>
        <w:t xml:space="preserve">con los valores propios </w:t>
      </w:r>
      <w:r>
        <w:rPr>
          <w:rFonts w:ascii="Arial" w:hAnsi="Arial" w:cs="Arial"/>
          <w:position w:val="-8"/>
        </w:rPr>
        <w:object w:dxaOrig="1800" w:dyaOrig="320">
          <v:shape id="_x0000_i1095" type="#_x0000_t75" style="width:104.25pt;height:18.45pt" o:ole="">
            <v:imagedata r:id="rId148" o:title=""/>
          </v:shape>
          <o:OLEObject Type="Embed" ProgID="Equation.3" ShapeID="_x0000_i1095" DrawAspect="Content" ObjectID="_1307787415" r:id="rId149"/>
        </w:object>
      </w:r>
      <w:r>
        <w:rPr>
          <w:rFonts w:ascii="Arial" w:hAnsi="Arial" w:cs="Arial"/>
        </w:rPr>
        <w:t>.</w:t>
      </w:r>
    </w:p>
    <w:p w:rsidR="00000000" w:rsidRDefault="00BC67ED">
      <w:pPr>
        <w:spacing w:line="480" w:lineRule="auto"/>
        <w:ind w:left="708" w:right="40"/>
        <w:jc w:val="both"/>
        <w:rPr>
          <w:rFonts w:ascii="Arial" w:hAnsi="Arial" w:cs="Arial"/>
        </w:rPr>
      </w:pPr>
      <w:r>
        <w:rPr>
          <w:rFonts w:ascii="Arial" w:hAnsi="Arial" w:cs="Arial"/>
        </w:rPr>
        <w:t>Consideremos las c</w:t>
      </w:r>
      <w:r>
        <w:rPr>
          <w:rFonts w:ascii="Arial" w:hAnsi="Arial" w:cs="Arial"/>
        </w:rPr>
        <w:t>ombinaciones lineales:</w:t>
      </w:r>
    </w:p>
    <w:p w:rsidR="00000000" w:rsidRDefault="00BC67ED">
      <w:pPr>
        <w:ind w:right="42"/>
        <w:jc w:val="both"/>
        <w:rPr>
          <w:rFonts w:ascii="Arial" w:hAnsi="Arial" w:cs="Arial"/>
        </w:rPr>
      </w:pPr>
    </w:p>
    <w:p w:rsidR="00000000" w:rsidRDefault="00BC67ED">
      <w:pPr>
        <w:ind w:right="42"/>
        <w:jc w:val="both"/>
        <w:rPr>
          <w:rFonts w:ascii="Arial" w:hAnsi="Arial" w:cs="Arial"/>
        </w:rPr>
      </w:pPr>
    </w:p>
    <w:p w:rsidR="00000000" w:rsidRDefault="00BC67ED">
      <w:pPr>
        <w:ind w:right="42"/>
        <w:jc w:val="center"/>
        <w:rPr>
          <w:rFonts w:ascii="Arial" w:hAnsi="Arial" w:cs="Arial"/>
        </w:rPr>
      </w:pPr>
      <w:r>
        <w:rPr>
          <w:rFonts w:ascii="Arial" w:hAnsi="Arial" w:cs="Arial"/>
        </w:rPr>
        <w:lastRenderedPageBreak/>
        <w:t xml:space="preserve">      </w:t>
      </w:r>
      <w:r>
        <w:rPr>
          <w:rFonts w:ascii="Arial" w:hAnsi="Arial" w:cs="Arial"/>
          <w:position w:val="-96"/>
        </w:rPr>
        <w:object w:dxaOrig="4300" w:dyaOrig="2040">
          <v:shape id="_x0000_i1096" type="#_x0000_t75" style="width:214.85pt;height:101.95pt" o:ole="">
            <v:imagedata r:id="rId150" o:title=""/>
          </v:shape>
          <o:OLEObject Type="Embed" ProgID="Equation.3" ShapeID="_x0000_i1096" DrawAspect="Content" ObjectID="_1307787416" r:id="rId151"/>
        </w:object>
      </w:r>
    </w:p>
    <w:p w:rsidR="00000000" w:rsidRDefault="00BC67ED">
      <w:pPr>
        <w:pStyle w:val="Sangradetextonormal"/>
        <w:ind w:left="0"/>
        <w:rPr>
          <w:rFonts w:ascii="Arial" w:hAnsi="Arial" w:cs="Arial"/>
        </w:rPr>
      </w:pPr>
    </w:p>
    <w:p w:rsidR="00000000" w:rsidRDefault="00BC67ED">
      <w:pPr>
        <w:pStyle w:val="Sangradetextonormal"/>
        <w:ind w:left="0"/>
        <w:rPr>
          <w:rFonts w:ascii="Arial" w:hAnsi="Arial" w:cs="Arial"/>
        </w:rPr>
      </w:pPr>
    </w:p>
    <w:p w:rsidR="00000000" w:rsidRDefault="00BC67ED">
      <w:pPr>
        <w:pStyle w:val="Sangradetextonormal"/>
        <w:ind w:left="708"/>
        <w:jc w:val="both"/>
        <w:rPr>
          <w:rFonts w:ascii="Arial" w:hAnsi="Arial" w:cs="Arial"/>
        </w:rPr>
      </w:pPr>
      <w:r>
        <w:rPr>
          <w:rFonts w:ascii="Arial" w:hAnsi="Arial" w:cs="Arial"/>
        </w:rPr>
        <w:t>De aquí podemos obtener lo siguiente:</w:t>
      </w:r>
    </w:p>
    <w:p w:rsidR="00000000" w:rsidRDefault="00BC67ED">
      <w:pPr>
        <w:pStyle w:val="Sangradetextonormal"/>
        <w:ind w:left="0"/>
        <w:rPr>
          <w:rFonts w:ascii="Arial" w:hAnsi="Arial" w:cs="Arial"/>
        </w:rPr>
      </w:pPr>
    </w:p>
    <w:p w:rsidR="00000000" w:rsidRDefault="00BC67ED">
      <w:pPr>
        <w:pStyle w:val="Sangradetextonormal"/>
        <w:ind w:left="0"/>
        <w:jc w:val="center"/>
        <w:rPr>
          <w:rFonts w:ascii="Arial" w:hAnsi="Arial" w:cs="Arial"/>
        </w:rPr>
      </w:pPr>
      <w:r>
        <w:rPr>
          <w:rFonts w:ascii="Arial" w:hAnsi="Arial" w:cs="Arial"/>
          <w:position w:val="-56"/>
        </w:rPr>
        <w:object w:dxaOrig="3580" w:dyaOrig="1240">
          <v:shape id="_x0000_i1097" type="#_x0000_t75" style="width:179.15pt;height:62.2pt" o:ole="">
            <v:imagedata r:id="rId152" o:title=""/>
          </v:shape>
          <o:OLEObject Type="Embed" ProgID="Equation.3" ShapeID="_x0000_i1097" DrawAspect="Content" ObjectID="_1307787417" r:id="rId153"/>
        </w:object>
      </w:r>
    </w:p>
    <w:p w:rsidR="00000000" w:rsidRDefault="00BC67ED">
      <w:pPr>
        <w:pStyle w:val="Sangradetextonormal"/>
        <w:ind w:left="0"/>
        <w:rPr>
          <w:rFonts w:ascii="Arial" w:hAnsi="Arial" w:cs="Arial"/>
        </w:rPr>
      </w:pPr>
    </w:p>
    <w:p w:rsidR="00000000" w:rsidRDefault="00BC67ED">
      <w:pPr>
        <w:pStyle w:val="Sangradetextonormal"/>
        <w:ind w:left="0"/>
        <w:rPr>
          <w:rFonts w:ascii="Arial" w:hAnsi="Arial" w:cs="Arial"/>
        </w:rPr>
      </w:pPr>
    </w:p>
    <w:p w:rsidR="00000000" w:rsidRDefault="00BC67ED">
      <w:pPr>
        <w:pStyle w:val="Sangradetextonormal"/>
        <w:spacing w:line="480" w:lineRule="auto"/>
        <w:ind w:left="708"/>
        <w:rPr>
          <w:rFonts w:ascii="Arial" w:hAnsi="Arial" w:cs="Arial"/>
        </w:rPr>
      </w:pPr>
      <w:r>
        <w:rPr>
          <w:rFonts w:ascii="Arial" w:hAnsi="Arial" w:cs="Arial"/>
        </w:rPr>
        <w:t>Las componentes principales son variables artificiales, que no están relacionadas entre sí.</w:t>
      </w:r>
    </w:p>
    <w:p w:rsidR="00000000" w:rsidRDefault="00BC67ED">
      <w:pPr>
        <w:pStyle w:val="Sangradetextonormal"/>
        <w:spacing w:line="480" w:lineRule="auto"/>
        <w:ind w:left="708"/>
        <w:jc w:val="both"/>
        <w:rPr>
          <w:rFonts w:ascii="Arial" w:hAnsi="Arial" w:cs="Arial"/>
        </w:rPr>
      </w:pPr>
      <w:r>
        <w:rPr>
          <w:rFonts w:ascii="Arial" w:hAnsi="Arial" w:cs="Arial"/>
        </w:rPr>
        <w:t>De este modo la primera componente princip</w:t>
      </w:r>
      <w:r>
        <w:rPr>
          <w:rFonts w:ascii="Arial" w:hAnsi="Arial" w:cs="Arial"/>
        </w:rPr>
        <w:t xml:space="preserve">al es la combinación lineal </w:t>
      </w:r>
      <w:r>
        <w:rPr>
          <w:rFonts w:ascii="Arial" w:hAnsi="Arial" w:cs="Arial"/>
          <w:position w:val="-10"/>
        </w:rPr>
        <w:object w:dxaOrig="499" w:dyaOrig="380">
          <v:shape id="_x0000_i1098" type="#_x0000_t75" style="width:24.75pt;height:19pt" o:ole="">
            <v:imagedata r:id="rId154" o:title=""/>
          </v:shape>
          <o:OLEObject Type="Embed" ProgID="Equation.3" ShapeID="_x0000_i1098" DrawAspect="Content" ObjectID="_1307787418" r:id="rId155"/>
        </w:object>
      </w:r>
      <w:r>
        <w:rPr>
          <w:rFonts w:ascii="Arial" w:hAnsi="Arial" w:cs="Arial"/>
        </w:rPr>
        <w:t xml:space="preserve"> de máxima varianza, </w:t>
      </w:r>
      <w:r>
        <w:rPr>
          <w:rFonts w:ascii="Arial" w:hAnsi="Arial" w:cs="Arial"/>
          <w:position w:val="-14"/>
        </w:rPr>
        <w:object w:dxaOrig="1719" w:dyaOrig="420">
          <v:shape id="_x0000_i1099" type="#_x0000_t75" style="width:85.8pt;height:20.75pt" o:ole="">
            <v:imagedata r:id="rId156" o:title=""/>
          </v:shape>
          <o:OLEObject Type="Embed" ProgID="Equation.3" ShapeID="_x0000_i1099" DrawAspect="Content" ObjectID="_1307787419" r:id="rId157"/>
        </w:object>
      </w:r>
      <w:r>
        <w:rPr>
          <w:rFonts w:ascii="Arial" w:hAnsi="Arial" w:cs="Arial"/>
        </w:rPr>
        <w:t xml:space="preserve"> sujeto a la restricción de que </w:t>
      </w:r>
      <w:r>
        <w:rPr>
          <w:rFonts w:ascii="Arial" w:hAnsi="Arial" w:cs="Arial"/>
          <w:position w:val="-10"/>
        </w:rPr>
        <w:object w:dxaOrig="1719" w:dyaOrig="380">
          <v:shape id="_x0000_i1100" type="#_x0000_t75" style="width:85.8pt;height:19pt" o:ole="">
            <v:imagedata r:id="rId158" o:title=""/>
          </v:shape>
          <o:OLEObject Type="Embed" ProgID="Equation.3" ShapeID="_x0000_i1100" DrawAspect="Content" ObjectID="_1307787420" r:id="rId159"/>
        </w:object>
      </w:r>
    </w:p>
    <w:p w:rsidR="00000000" w:rsidRDefault="00BC67ED">
      <w:pPr>
        <w:pStyle w:val="Sangradetextonormal"/>
        <w:spacing w:line="480" w:lineRule="auto"/>
        <w:ind w:left="708"/>
        <w:jc w:val="both"/>
        <w:rPr>
          <w:rFonts w:ascii="Arial" w:hAnsi="Arial" w:cs="Arial"/>
        </w:rPr>
      </w:pPr>
      <w:r>
        <w:rPr>
          <w:rFonts w:ascii="Arial" w:hAnsi="Arial" w:cs="Arial"/>
        </w:rPr>
        <w:t xml:space="preserve">La segunda componente principal es la combinación lineal  </w:t>
      </w:r>
      <w:r>
        <w:rPr>
          <w:rFonts w:ascii="Arial" w:hAnsi="Arial" w:cs="Arial"/>
          <w:position w:val="-10"/>
        </w:rPr>
        <w:object w:dxaOrig="520" w:dyaOrig="380">
          <v:shape id="_x0000_i1101" type="#_x0000_t75" style="width:25.9pt;height:19pt" o:ole="">
            <v:imagedata r:id="rId160" o:title=""/>
          </v:shape>
          <o:OLEObject Type="Embed" ProgID="Equation.3" ShapeID="_x0000_i1101" DrawAspect="Content" ObjectID="_1307787421" r:id="rId161"/>
        </w:object>
      </w:r>
      <w:r>
        <w:rPr>
          <w:rFonts w:ascii="Arial" w:hAnsi="Arial" w:cs="Arial"/>
        </w:rPr>
        <w:t xml:space="preserve">que maximiza </w:t>
      </w:r>
      <w:r>
        <w:rPr>
          <w:rFonts w:ascii="Arial" w:hAnsi="Arial" w:cs="Arial"/>
          <w:position w:val="-10"/>
        </w:rPr>
        <w:object w:dxaOrig="999" w:dyaOrig="380">
          <v:shape id="_x0000_i1102" type="#_x0000_t75" style="width:50.1pt;height:19pt" o:ole="">
            <v:imagedata r:id="rId162" o:title=""/>
          </v:shape>
          <o:OLEObject Type="Embed" ProgID="Equation.3" ShapeID="_x0000_i1102" DrawAspect="Content" ObjectID="_1307787422" r:id="rId163"/>
        </w:object>
      </w:r>
      <w:r>
        <w:rPr>
          <w:rFonts w:ascii="Arial" w:hAnsi="Arial" w:cs="Arial"/>
        </w:rPr>
        <w:t xml:space="preserve"> sujeto a  </w:t>
      </w:r>
      <w:r>
        <w:rPr>
          <w:rFonts w:ascii="Arial" w:hAnsi="Arial" w:cs="Arial"/>
          <w:position w:val="-10"/>
        </w:rPr>
        <w:object w:dxaOrig="859" w:dyaOrig="380">
          <v:shape id="_x0000_i1103" type="#_x0000_t75" style="width:43.2pt;height:19pt" o:ole="">
            <v:imagedata r:id="rId164" o:title=""/>
          </v:shape>
          <o:OLEObject Type="Embed" ProgID="Equation.3" ShapeID="_x0000_i1103" DrawAspect="Content" ObjectID="_1307787423" r:id="rId165"/>
        </w:object>
      </w:r>
      <w:r>
        <w:rPr>
          <w:rFonts w:ascii="Arial" w:hAnsi="Arial" w:cs="Arial"/>
        </w:rPr>
        <w:t xml:space="preserve"> y  </w:t>
      </w:r>
      <w:r>
        <w:rPr>
          <w:rFonts w:ascii="Arial" w:hAnsi="Arial" w:cs="Arial"/>
          <w:position w:val="-10"/>
        </w:rPr>
        <w:object w:dxaOrig="1900" w:dyaOrig="380">
          <v:shape id="_x0000_i1104" type="#_x0000_t75" style="width:95.05pt;height:19pt" o:ole="">
            <v:imagedata r:id="rId166" o:title=""/>
          </v:shape>
          <o:OLEObject Type="Embed" ProgID="Equation.3" ShapeID="_x0000_i1104" DrawAspect="Content" ObjectID="_1307787424" r:id="rId167"/>
        </w:object>
      </w:r>
      <w:r>
        <w:rPr>
          <w:rFonts w:ascii="Arial" w:hAnsi="Arial" w:cs="Arial"/>
        </w:rPr>
        <w:t>.</w:t>
      </w:r>
    </w:p>
    <w:p w:rsidR="00000000" w:rsidRDefault="00BC67ED">
      <w:pPr>
        <w:pStyle w:val="Sangradetextonormal"/>
        <w:spacing w:line="480" w:lineRule="auto"/>
        <w:ind w:left="708"/>
        <w:jc w:val="both"/>
        <w:rPr>
          <w:rFonts w:ascii="Arial" w:hAnsi="Arial" w:cs="Arial"/>
        </w:rPr>
      </w:pPr>
      <w:r>
        <w:rPr>
          <w:rFonts w:ascii="Arial" w:hAnsi="Arial" w:cs="Arial"/>
        </w:rPr>
        <w:t xml:space="preserve">De este modo la i-ésima componente es la combinación lineal </w:t>
      </w:r>
      <w:r>
        <w:rPr>
          <w:rFonts w:ascii="Arial" w:hAnsi="Arial" w:cs="Arial"/>
          <w:position w:val="-12"/>
        </w:rPr>
        <w:object w:dxaOrig="499" w:dyaOrig="400">
          <v:shape id="_x0000_i1105" type="#_x0000_t75" style="width:24.75pt;height:20.15pt" o:ole="">
            <v:imagedata r:id="rId168" o:title=""/>
          </v:shape>
          <o:OLEObject Type="Embed" ProgID="Equation.3" ShapeID="_x0000_i1105" DrawAspect="Content" ObjectID="_1307787425" r:id="rId169"/>
        </w:object>
      </w:r>
      <w:r>
        <w:rPr>
          <w:rFonts w:ascii="Arial" w:hAnsi="Arial" w:cs="Arial"/>
        </w:rPr>
        <w:t xml:space="preserve">que maximiza la </w:t>
      </w:r>
      <w:r>
        <w:rPr>
          <w:rFonts w:ascii="Arial" w:hAnsi="Arial" w:cs="Arial"/>
          <w:position w:val="-12"/>
        </w:rPr>
        <w:object w:dxaOrig="960" w:dyaOrig="400">
          <v:shape id="_x0000_i1106" type="#_x0000_t75" style="width:47.8pt;height:20.15pt" o:ole="">
            <v:imagedata r:id="rId170" o:title=""/>
          </v:shape>
          <o:OLEObject Type="Embed" ProgID="Equation.3" ShapeID="_x0000_i1106" DrawAspect="Content" ObjectID="_1307787426" r:id="rId171"/>
        </w:object>
      </w:r>
      <w:r>
        <w:rPr>
          <w:rFonts w:ascii="Arial" w:hAnsi="Arial" w:cs="Arial"/>
        </w:rPr>
        <w:t xml:space="preserve"> sujeto a </w:t>
      </w:r>
      <w:r>
        <w:rPr>
          <w:rFonts w:ascii="Arial" w:hAnsi="Arial" w:cs="Arial"/>
          <w:position w:val="-12"/>
        </w:rPr>
        <w:object w:dxaOrig="800" w:dyaOrig="400">
          <v:shape id="_x0000_i1107" type="#_x0000_t75" style="width:39.75pt;height:20.15pt" o:ole="">
            <v:imagedata r:id="rId172" o:title=""/>
          </v:shape>
          <o:OLEObject Type="Embed" ProgID="Equation.3" ShapeID="_x0000_i1107" DrawAspect="Content" ObjectID="_1307787427" r:id="rId173"/>
        </w:object>
      </w:r>
      <w:r>
        <w:rPr>
          <w:rFonts w:ascii="Arial" w:hAnsi="Arial" w:cs="Arial"/>
        </w:rPr>
        <w:t xml:space="preserve"> y </w:t>
      </w:r>
      <w:r>
        <w:rPr>
          <w:rFonts w:ascii="Arial" w:hAnsi="Arial" w:cs="Arial"/>
          <w:position w:val="-12"/>
        </w:rPr>
        <w:object w:dxaOrig="1900" w:dyaOrig="400">
          <v:shape id="_x0000_i1108" type="#_x0000_t75" style="width:95.05pt;height:20.15pt" o:ole="">
            <v:imagedata r:id="rId174" o:title=""/>
          </v:shape>
          <o:OLEObject Type="Embed" ProgID="Equation.3" ShapeID="_x0000_i1108" DrawAspect="Content" ObjectID="_1307787428" r:id="rId175"/>
        </w:object>
      </w:r>
      <w:r>
        <w:rPr>
          <w:rFonts w:ascii="Arial" w:hAnsi="Arial" w:cs="Arial"/>
        </w:rPr>
        <w:t xml:space="preserve"> para k &lt; i.</w: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bCs/>
          <w:spacing w:val="20"/>
        </w:rPr>
        <w:lastRenderedPageBreak/>
        <w:t>Obtención de las Componentes Principales</w:t>
      </w:r>
    </w:p>
    <w:p w:rsidR="00000000" w:rsidRDefault="00BC67ED">
      <w:pPr>
        <w:pStyle w:val="Sangradetextonormal"/>
        <w:spacing w:line="480" w:lineRule="auto"/>
        <w:ind w:left="708"/>
        <w:jc w:val="both"/>
        <w:rPr>
          <w:rFonts w:ascii="Arial" w:hAnsi="Arial" w:cs="Arial"/>
        </w:rPr>
      </w:pPr>
      <w:r>
        <w:rPr>
          <w:rFonts w:ascii="Arial" w:hAnsi="Arial" w:cs="Arial"/>
        </w:rPr>
        <w:t xml:space="preserve">Para la obtención de las componentes principales, consideremos que </w:t>
      </w:r>
      <w:r>
        <w:rPr>
          <w:rFonts w:ascii="Arial" w:hAnsi="Arial" w:cs="Arial"/>
          <w:position w:val="-14"/>
        </w:rPr>
        <w:object w:dxaOrig="460" w:dyaOrig="400">
          <v:shape id="_x0000_i1109" type="#_x0000_t75" style="width:23.05pt;height:20.15pt" o:ole="">
            <v:imagedata r:id="rId176" o:title=""/>
          </v:shape>
          <o:OLEObject Type="Embed" ProgID="Equation.3" ShapeID="_x0000_i1109" DrawAspect="Content" ObjectID="_1307787429" r:id="rId177"/>
        </w:object>
      </w:r>
      <w:r>
        <w:rPr>
          <w:rFonts w:ascii="Arial" w:hAnsi="Arial" w:cs="Arial"/>
        </w:rPr>
        <w:t xml:space="preserve"> es la matriz de varianza y covarianza obtenida a partir del vector </w:t>
      </w:r>
      <w:r>
        <w:rPr>
          <w:rFonts w:ascii="Arial" w:hAnsi="Arial" w:cs="Arial"/>
          <w:position w:val="-14"/>
        </w:rPr>
        <w:object w:dxaOrig="2060" w:dyaOrig="400">
          <v:shape id="_x0000_i1110" type="#_x0000_t75" style="width:103.1pt;height:20.15pt" o:ole="">
            <v:imagedata r:id="rId178" o:title=""/>
          </v:shape>
          <o:OLEObject Type="Embed" ProgID="Equation.3" ShapeID="_x0000_i1110" DrawAspect="Content" ObjectID="_1307787430" r:id="rId179"/>
        </w:object>
      </w:r>
      <w:r>
        <w:rPr>
          <w:rFonts w:ascii="Arial" w:hAnsi="Arial" w:cs="Arial"/>
        </w:rPr>
        <w:t xml:space="preserve"> y además que de la </w:t>
      </w:r>
      <w:r>
        <w:rPr>
          <w:rFonts w:ascii="Arial" w:hAnsi="Arial" w:cs="Arial"/>
        </w:rPr>
        <w:t xml:space="preserve">matriz </w:t>
      </w:r>
      <w:r>
        <w:rPr>
          <w:rFonts w:ascii="Arial" w:hAnsi="Arial" w:cs="Arial"/>
          <w:position w:val="-14"/>
        </w:rPr>
        <w:object w:dxaOrig="460" w:dyaOrig="400">
          <v:shape id="_x0000_i1111" type="#_x0000_t75" style="width:23.05pt;height:20.15pt" o:ole="">
            <v:imagedata r:id="rId180" o:title=""/>
          </v:shape>
          <o:OLEObject Type="Embed" ProgID="Equation.3" ShapeID="_x0000_i1111" DrawAspect="Content" ObjectID="_1307787431" r:id="rId181"/>
        </w:object>
      </w:r>
      <w:r>
        <w:rPr>
          <w:rFonts w:ascii="Arial" w:hAnsi="Arial" w:cs="Arial"/>
        </w:rPr>
        <w:t xml:space="preserve"> obtenemos los pares de valores y vectores propios </w:t>
      </w:r>
      <w:r>
        <w:rPr>
          <w:rFonts w:ascii="Arial" w:hAnsi="Arial" w:cs="Arial"/>
          <w:position w:val="-14"/>
        </w:rPr>
        <w:object w:dxaOrig="2380" w:dyaOrig="380">
          <v:shape id="_x0000_i1112" type="#_x0000_t75" style="width:119.25pt;height:19pt" o:ole="">
            <v:imagedata r:id="rId182" o:title=""/>
          </v:shape>
          <o:OLEObject Type="Embed" ProgID="Equation.3" ShapeID="_x0000_i1112" DrawAspect="Content" ObjectID="_1307787432" r:id="rId183"/>
        </w:object>
      </w:r>
      <w:r>
        <w:rPr>
          <w:rFonts w:ascii="Arial" w:hAnsi="Arial" w:cs="Arial"/>
        </w:rPr>
        <w:t xml:space="preserve"> donde </w:t>
      </w:r>
      <w:r>
        <w:rPr>
          <w:rFonts w:ascii="Arial" w:hAnsi="Arial" w:cs="Arial"/>
          <w:position w:val="-14"/>
        </w:rPr>
        <w:object w:dxaOrig="2020" w:dyaOrig="380">
          <v:shape id="_x0000_i1113" type="#_x0000_t75" style="width:100.8pt;height:19pt" o:ole="">
            <v:imagedata r:id="rId184" o:title=""/>
          </v:shape>
          <o:OLEObject Type="Embed" ProgID="Equation.3" ShapeID="_x0000_i1113" DrawAspect="Content" ObjectID="_1307787433" r:id="rId185"/>
        </w:object>
      </w:r>
      <w:r>
        <w:rPr>
          <w:rFonts w:ascii="Arial" w:hAnsi="Arial" w:cs="Arial"/>
        </w:rPr>
        <w:t xml:space="preserve"> de aquí que la i-ésima componente principal esta dada por:</w:t>
      </w:r>
    </w:p>
    <w:p w:rsidR="00000000" w:rsidRDefault="00BC67ED">
      <w:pPr>
        <w:pStyle w:val="Sangradetextonormal"/>
        <w:ind w:left="0"/>
        <w:jc w:val="center"/>
        <w:rPr>
          <w:rFonts w:ascii="Arial" w:hAnsi="Arial" w:cs="Arial"/>
        </w:rPr>
      </w:pPr>
      <w:r>
        <w:rPr>
          <w:rFonts w:ascii="Arial" w:hAnsi="Arial" w:cs="Arial"/>
        </w:rPr>
        <w:t xml:space="preserve">                  </w:t>
      </w:r>
      <w:r>
        <w:rPr>
          <w:rFonts w:ascii="Arial" w:hAnsi="Arial" w:cs="Arial"/>
          <w:position w:val="-40"/>
        </w:rPr>
        <w:object w:dxaOrig="3519" w:dyaOrig="920">
          <v:shape id="_x0000_i1114" type="#_x0000_t75" style="width:175.7pt;height:46.1pt" o:ole="">
            <v:imagedata r:id="rId186" o:title=""/>
          </v:shape>
          <o:OLEObject Type="Embed" ProgID="Equation.3" ShapeID="_x0000_i1114" DrawAspect="Content" ObjectID="_1307787434" r:id="rId187"/>
        </w:object>
      </w:r>
    </w:p>
    <w:p w:rsidR="00000000" w:rsidRDefault="00BC67ED">
      <w:pPr>
        <w:pStyle w:val="Sangradetextonormal"/>
        <w:ind w:left="0"/>
        <w:rPr>
          <w:rFonts w:ascii="Arial" w:hAnsi="Arial" w:cs="Arial"/>
        </w:rPr>
      </w:pPr>
    </w:p>
    <w:p w:rsidR="00000000" w:rsidRDefault="00BC67ED">
      <w:pPr>
        <w:pStyle w:val="Sangradetextonormal"/>
        <w:ind w:left="708"/>
        <w:rPr>
          <w:rFonts w:ascii="Arial" w:hAnsi="Arial" w:cs="Arial"/>
        </w:rPr>
      </w:pPr>
      <w:r>
        <w:rPr>
          <w:rFonts w:ascii="Arial" w:hAnsi="Arial" w:cs="Arial"/>
        </w:rPr>
        <w:t>Además:</w:t>
      </w:r>
    </w:p>
    <w:p w:rsidR="00000000" w:rsidRDefault="00BC67ED">
      <w:pPr>
        <w:pStyle w:val="Sangradetextonormal"/>
        <w:ind w:left="0"/>
        <w:jc w:val="center"/>
        <w:rPr>
          <w:rFonts w:ascii="Arial" w:hAnsi="Arial" w:cs="Arial"/>
        </w:rPr>
      </w:pPr>
      <w:r>
        <w:rPr>
          <w:rFonts w:ascii="Arial" w:hAnsi="Arial" w:cs="Arial"/>
        </w:rPr>
        <w:t xml:space="preserve">           </w:t>
      </w:r>
      <w:r>
        <w:rPr>
          <w:rFonts w:ascii="Arial" w:hAnsi="Arial" w:cs="Arial"/>
        </w:rPr>
        <w:t xml:space="preserve">       </w:t>
      </w:r>
      <w:r>
        <w:rPr>
          <w:rFonts w:ascii="Arial" w:hAnsi="Arial" w:cs="Arial"/>
          <w:position w:val="-90"/>
        </w:rPr>
        <w:object w:dxaOrig="3780" w:dyaOrig="1920">
          <v:shape id="_x0000_i1115" type="#_x0000_t75" style="width:188.95pt;height:96.2pt" o:ole="">
            <v:imagedata r:id="rId188" o:title=""/>
          </v:shape>
          <o:OLEObject Type="Embed" ProgID="Equation.3" ShapeID="_x0000_i1115" DrawAspect="Content" ObjectID="_1307787435" r:id="rId189"/>
        </w:object>
      </w:r>
    </w:p>
    <w:p w:rsidR="00000000" w:rsidRDefault="00BC67ED">
      <w:pPr>
        <w:pStyle w:val="Sangradetextonormal"/>
        <w:ind w:left="0"/>
        <w:rPr>
          <w:rFonts w:ascii="Arial" w:hAnsi="Arial" w:cs="Arial"/>
        </w:rPr>
      </w:pPr>
    </w:p>
    <w:p w:rsidR="00000000" w:rsidRDefault="00BC67ED">
      <w:pPr>
        <w:pStyle w:val="Sangradetextonormal"/>
        <w:spacing w:line="480" w:lineRule="auto"/>
        <w:ind w:left="708"/>
        <w:jc w:val="both"/>
        <w:rPr>
          <w:rFonts w:ascii="Arial" w:hAnsi="Arial" w:cs="Arial"/>
        </w:rPr>
      </w:pPr>
      <w:r>
        <w:rPr>
          <w:rFonts w:ascii="Arial" w:hAnsi="Arial" w:cs="Arial"/>
        </w:rPr>
        <w:t xml:space="preserve">Se debe  considerar que existen algunos de los </w:t>
      </w:r>
      <w:r>
        <w:rPr>
          <w:rFonts w:ascii="Arial" w:hAnsi="Arial" w:cs="Arial"/>
          <w:position w:val="-12"/>
        </w:rPr>
        <w:object w:dxaOrig="240" w:dyaOrig="360">
          <v:shape id="_x0000_i1116" type="#_x0000_t75" style="width:12.1pt;height:17.85pt" o:ole="">
            <v:imagedata r:id="rId190" o:title=""/>
          </v:shape>
          <o:OLEObject Type="Embed" ProgID="Equation.3" ShapeID="_x0000_i1116" DrawAspect="Content" ObjectID="_1307787436" r:id="rId191"/>
        </w:object>
      </w:r>
      <w:r>
        <w:rPr>
          <w:rFonts w:ascii="Arial" w:hAnsi="Arial" w:cs="Arial"/>
        </w:rPr>
        <w:t xml:space="preserve"> iguales entonces los coeficientes del respectivo vector propio son iguales y por lo tanto la componente principal correspondiente a ese valor propio no e</w:t>
      </w:r>
      <w:r>
        <w:rPr>
          <w:rFonts w:ascii="Arial" w:hAnsi="Arial" w:cs="Arial"/>
        </w:rPr>
        <w:t>s único.</w:t>
      </w:r>
    </w:p>
    <w:p w:rsidR="00000000" w:rsidRDefault="00BC67ED">
      <w:pPr>
        <w:pStyle w:val="Sangradetextonormal"/>
        <w:ind w:left="708"/>
        <w:jc w:val="both"/>
        <w:rPr>
          <w:rFonts w:ascii="Arial" w:hAnsi="Arial" w:cs="Arial"/>
        </w:rPr>
      </w:pPr>
      <w:r>
        <w:rPr>
          <w:rFonts w:ascii="Arial" w:hAnsi="Arial" w:cs="Arial"/>
        </w:rPr>
        <w:t>El total de la varianza de la población esta dado por:</w:t>
      </w:r>
    </w:p>
    <w:p w:rsidR="00000000" w:rsidRDefault="00BC67ED">
      <w:pPr>
        <w:pStyle w:val="Sangradetextonormal"/>
        <w:ind w:left="0"/>
        <w:rPr>
          <w:rFonts w:ascii="Arial" w:hAnsi="Arial" w:cs="Arial"/>
        </w:rPr>
      </w:pPr>
    </w:p>
    <w:p w:rsidR="00000000" w:rsidRDefault="00BC67ED">
      <w:pPr>
        <w:pStyle w:val="Sangradetextonormal"/>
        <w:ind w:left="708"/>
        <w:rPr>
          <w:rFonts w:ascii="Arial" w:hAnsi="Arial" w:cs="Arial"/>
        </w:rPr>
      </w:pPr>
      <w:r>
        <w:rPr>
          <w:rFonts w:ascii="Arial" w:hAnsi="Arial" w:cs="Arial"/>
          <w:position w:val="-14"/>
        </w:rPr>
        <w:object w:dxaOrig="4160" w:dyaOrig="400">
          <v:shape id="_x0000_i1117" type="#_x0000_t75" style="width:207.95pt;height:20.15pt" o:ole="">
            <v:imagedata r:id="rId192" o:title=""/>
          </v:shape>
          <o:OLEObject Type="Embed" ProgID="Equation.3" ShapeID="_x0000_i1117" DrawAspect="Content" ObjectID="_1307787437" r:id="rId193"/>
        </w:object>
      </w:r>
    </w:p>
    <w:p w:rsidR="00000000" w:rsidRDefault="00BC67ED">
      <w:pPr>
        <w:pStyle w:val="Sangradetextonormal"/>
        <w:ind w:left="708"/>
        <w:rPr>
          <w:rFonts w:ascii="Arial" w:hAnsi="Arial" w:cs="Arial"/>
        </w:rPr>
      </w:pPr>
      <w:r>
        <w:rPr>
          <w:rFonts w:ascii="Arial" w:hAnsi="Arial" w:cs="Arial"/>
        </w:rPr>
        <w:t xml:space="preserve">                                </w:t>
      </w:r>
      <w:r>
        <w:rPr>
          <w:rFonts w:ascii="Arial" w:hAnsi="Arial" w:cs="Arial"/>
          <w:position w:val="-14"/>
        </w:rPr>
        <w:object w:dxaOrig="1719" w:dyaOrig="380">
          <v:shape id="_x0000_i1118" type="#_x0000_t75" style="width:85.8pt;height:19pt" o:ole="">
            <v:imagedata r:id="rId194" o:title=""/>
          </v:shape>
          <o:OLEObject Type="Embed" ProgID="Equation.3" ShapeID="_x0000_i1118" DrawAspect="Content" ObjectID="_1307787438" r:id="rId195"/>
        </w:object>
      </w:r>
    </w:p>
    <w:p w:rsidR="00000000" w:rsidRDefault="00BC67ED">
      <w:pPr>
        <w:pStyle w:val="Sangradetextonormal"/>
        <w:ind w:left="0"/>
        <w:rPr>
          <w:rFonts w:ascii="Arial" w:hAnsi="Arial" w:cs="Arial"/>
        </w:rPr>
      </w:pPr>
    </w:p>
    <w:p w:rsidR="00000000" w:rsidRDefault="00BC67ED">
      <w:pPr>
        <w:pStyle w:val="Sangradetextonormal"/>
        <w:spacing w:line="480" w:lineRule="auto"/>
        <w:ind w:left="708"/>
        <w:jc w:val="both"/>
        <w:rPr>
          <w:rFonts w:ascii="Arial" w:hAnsi="Arial" w:cs="Arial"/>
        </w:rPr>
      </w:pPr>
      <w:r>
        <w:rPr>
          <w:rFonts w:ascii="Arial" w:hAnsi="Arial" w:cs="Arial"/>
        </w:rPr>
        <w:t>Consecuentemente, la proporción del total de la varianza de explicación determinada por la k-ésima  componente</w:t>
      </w:r>
      <w:r>
        <w:rPr>
          <w:rFonts w:ascii="Arial" w:hAnsi="Arial" w:cs="Arial"/>
        </w:rPr>
        <w:t xml:space="preserve"> principal es:</w:t>
      </w:r>
      <w:r>
        <w:rPr>
          <w:rFonts w:ascii="Arial" w:hAnsi="Arial" w:cs="Arial"/>
          <w:position w:val="-10"/>
        </w:rPr>
        <w:object w:dxaOrig="180" w:dyaOrig="340">
          <v:shape id="_x0000_i1119" type="#_x0000_t75" style="width:9.2pt;height:17.3pt" o:ole="">
            <v:imagedata r:id="rId196" o:title=""/>
          </v:shape>
          <o:OLEObject Type="Embed" ProgID="Equation.3" ShapeID="_x0000_i1119" DrawAspect="Content" ObjectID="_1307787439" r:id="rId197"/>
        </w:object>
      </w:r>
    </w:p>
    <w:p w:rsidR="00000000" w:rsidRDefault="00BC67ED">
      <w:pPr>
        <w:pStyle w:val="Sangradetextonormal"/>
        <w:spacing w:line="480" w:lineRule="auto"/>
        <w:ind w:left="708"/>
        <w:jc w:val="both"/>
        <w:rPr>
          <w:rFonts w:ascii="Arial" w:hAnsi="Arial" w:cs="Arial"/>
        </w:rPr>
      </w:pPr>
    </w:p>
    <w:p w:rsidR="00000000" w:rsidRDefault="00BC67ED">
      <w:pPr>
        <w:pStyle w:val="Sangradetextonormal"/>
        <w:ind w:left="0"/>
        <w:jc w:val="center"/>
        <w:rPr>
          <w:rFonts w:ascii="Arial" w:hAnsi="Arial" w:cs="Arial"/>
        </w:rPr>
      </w:pPr>
      <w:r>
        <w:rPr>
          <w:rFonts w:ascii="Arial" w:hAnsi="Arial" w:cs="Arial"/>
        </w:rPr>
        <w:t xml:space="preserve">                </w:t>
      </w:r>
      <w:r>
        <w:rPr>
          <w:rFonts w:ascii="Arial" w:hAnsi="Arial" w:cs="Arial"/>
          <w:position w:val="-100"/>
        </w:rPr>
        <w:object w:dxaOrig="4180" w:dyaOrig="2120">
          <v:shape id="_x0000_i1120" type="#_x0000_t75" style="width:209.1pt;height:106pt" o:ole="">
            <v:imagedata r:id="rId198" o:title=""/>
          </v:shape>
          <o:OLEObject Type="Embed" ProgID="Equation.3" ShapeID="_x0000_i1120" DrawAspect="Content" ObjectID="_1307787440" r:id="rId199"/>
        </w:object>
      </w:r>
    </w:p>
    <w:p w:rsidR="00000000" w:rsidRDefault="00BC67ED">
      <w:pPr>
        <w:spacing w:line="480" w:lineRule="auto"/>
        <w:ind w:left="708"/>
        <w:jc w:val="both"/>
        <w:rPr>
          <w:rFonts w:ascii="Arial" w:hAnsi="Arial" w:cs="Arial"/>
          <w:b/>
        </w:rPr>
      </w:pPr>
    </w:p>
    <w:p w:rsidR="00000000" w:rsidRDefault="00BC67ED" w:rsidP="00BC67ED">
      <w:pPr>
        <w:numPr>
          <w:ilvl w:val="2"/>
          <w:numId w:val="28"/>
        </w:numPr>
        <w:tabs>
          <w:tab w:val="clear" w:pos="2514"/>
          <w:tab w:val="num" w:pos="1422"/>
        </w:tabs>
        <w:spacing w:line="480" w:lineRule="auto"/>
        <w:ind w:left="1422" w:hanging="714"/>
        <w:jc w:val="both"/>
        <w:rPr>
          <w:rFonts w:ascii="Arial" w:hAnsi="Arial" w:cs="Arial"/>
          <w:b/>
        </w:rPr>
      </w:pPr>
      <w:r>
        <w:rPr>
          <w:rFonts w:ascii="Arial" w:hAnsi="Arial" w:cs="Arial"/>
          <w:b/>
          <w:bCs/>
          <w:spacing w:val="20"/>
        </w:rPr>
        <w:t>Obtención de Componentes Principales a Partir de Datos Estandarizados.</w:t>
      </w:r>
    </w:p>
    <w:p w:rsidR="00000000" w:rsidRDefault="00BC67ED">
      <w:pPr>
        <w:pStyle w:val="Sangradetextonormal"/>
        <w:spacing w:line="480" w:lineRule="auto"/>
        <w:ind w:left="708"/>
        <w:jc w:val="both"/>
        <w:rPr>
          <w:rFonts w:ascii="Arial" w:hAnsi="Arial" w:cs="Arial"/>
        </w:rPr>
      </w:pPr>
      <w:r>
        <w:rPr>
          <w:rFonts w:ascii="Arial" w:hAnsi="Arial" w:cs="Arial"/>
        </w:rPr>
        <w:t>Cuando trabajamos con variables cualitativas al mismo tiempo que con variables cuantitativas, es recomend</w:t>
      </w:r>
      <w:r>
        <w:rPr>
          <w:rFonts w:ascii="Arial" w:hAnsi="Arial" w:cs="Arial"/>
        </w:rPr>
        <w:t>able estandarizar las variables originales.</w:t>
      </w:r>
    </w:p>
    <w:p w:rsidR="00000000" w:rsidRDefault="00BC67ED">
      <w:pPr>
        <w:pStyle w:val="Sangradetextonormal"/>
        <w:spacing w:line="480" w:lineRule="auto"/>
        <w:ind w:left="708"/>
        <w:jc w:val="both"/>
        <w:rPr>
          <w:rFonts w:ascii="Arial" w:hAnsi="Arial" w:cs="Arial"/>
        </w:rPr>
      </w:pPr>
      <w:r>
        <w:rPr>
          <w:rFonts w:ascii="Arial" w:hAnsi="Arial" w:cs="Arial"/>
        </w:rPr>
        <w:t>Con lo que obtenemos un conjunto de variables Z, de la siguiente forma:</w:t>
      </w:r>
    </w:p>
    <w:p w:rsidR="00000000" w:rsidRDefault="00BC67ED">
      <w:pPr>
        <w:pStyle w:val="Sangradetextonormal"/>
        <w:ind w:left="0"/>
        <w:jc w:val="center"/>
        <w:rPr>
          <w:rFonts w:ascii="Arial" w:hAnsi="Arial" w:cs="Arial"/>
        </w:rPr>
      </w:pPr>
      <w:r>
        <w:rPr>
          <w:rFonts w:ascii="Arial" w:hAnsi="Arial" w:cs="Arial"/>
        </w:rPr>
        <w:lastRenderedPageBreak/>
        <w:t xml:space="preserve">             </w:t>
      </w:r>
      <w:r>
        <w:rPr>
          <w:rFonts w:ascii="Arial" w:hAnsi="Arial" w:cs="Arial"/>
          <w:vanish/>
        </w:rPr>
        <w:t xml:space="preserve">    </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position w:val="-126"/>
        </w:rPr>
        <w:object w:dxaOrig="1540" w:dyaOrig="2640">
          <v:shape id="_x0000_i1121" type="#_x0000_t75" style="width:77.2pt;height:131.9pt" o:ole="">
            <v:imagedata r:id="rId200" o:title=""/>
          </v:shape>
          <o:OLEObject Type="Embed" ProgID="Equation.3" ShapeID="_x0000_i1121" DrawAspect="Content" ObjectID="_1307787441" r:id="rId201"/>
        </w:object>
      </w:r>
      <w:r>
        <w:rPr>
          <w:rFonts w:ascii="Arial" w:hAnsi="Arial" w:cs="Arial"/>
          <w:position w:val="-4"/>
        </w:rPr>
        <w:object w:dxaOrig="1440" w:dyaOrig="313">
          <v:shape id="_x0000_i1122" type="#_x0000_t75" style="width:1in;height:15.55pt" o:ole="">
            <v:imagedata r:id="rId202" o:title=""/>
          </v:shape>
          <o:OLEObject Type="Embed" ProgID="Equation.DSMT4" ShapeID="_x0000_i1122" DrawAspect="Content" ObjectID="_1307787442" r:id="rId203"/>
        </w:object>
      </w:r>
    </w:p>
    <w:p w:rsidR="00000000" w:rsidRDefault="00BC67ED">
      <w:pPr>
        <w:pStyle w:val="Sangradetextonormal"/>
        <w:ind w:left="0"/>
        <w:rPr>
          <w:rFonts w:ascii="Arial" w:hAnsi="Arial" w:cs="Arial"/>
        </w:rPr>
      </w:pPr>
    </w:p>
    <w:p w:rsidR="00000000" w:rsidRDefault="00BC67ED">
      <w:pPr>
        <w:pStyle w:val="Sangradetextonormal"/>
        <w:ind w:left="708"/>
        <w:rPr>
          <w:rFonts w:ascii="Arial" w:hAnsi="Arial" w:cs="Arial"/>
        </w:rPr>
      </w:pPr>
      <w:r>
        <w:rPr>
          <w:rFonts w:ascii="Arial" w:hAnsi="Arial" w:cs="Arial"/>
        </w:rPr>
        <w:t>En notación matricial.</w:t>
      </w:r>
    </w:p>
    <w:p w:rsidR="00000000" w:rsidRDefault="00BC67ED">
      <w:pPr>
        <w:pStyle w:val="Sangradetextonormal"/>
        <w:ind w:left="0"/>
        <w:jc w:val="center"/>
        <w:rPr>
          <w:rFonts w:ascii="Arial" w:hAnsi="Arial" w:cs="Arial"/>
        </w:rPr>
      </w:pPr>
      <w:r>
        <w:rPr>
          <w:rFonts w:ascii="Arial" w:hAnsi="Arial" w:cs="Arial"/>
        </w:rPr>
        <w:t xml:space="preserve">                         </w:t>
      </w:r>
      <w:r>
        <w:rPr>
          <w:rFonts w:ascii="Arial" w:hAnsi="Arial" w:cs="Arial"/>
          <w:position w:val="-30"/>
        </w:rPr>
        <w:object w:dxaOrig="1860" w:dyaOrig="720">
          <v:shape id="_x0000_i1123" type="#_x0000_t75" style="width:92.75pt;height:35.15pt" o:ole="">
            <v:imagedata r:id="rId204" o:title=""/>
          </v:shape>
          <o:OLEObject Type="Embed" ProgID="Equation.3" ShapeID="_x0000_i1123" DrawAspect="Content" ObjectID="_1307787443" r:id="rId205"/>
        </w:object>
      </w:r>
    </w:p>
    <w:p w:rsidR="00000000" w:rsidRDefault="00BC67ED">
      <w:pPr>
        <w:pStyle w:val="Sangradetextonormal"/>
        <w:spacing w:line="480" w:lineRule="auto"/>
        <w:ind w:left="708"/>
        <w:jc w:val="both"/>
        <w:rPr>
          <w:rFonts w:ascii="Arial" w:hAnsi="Arial" w:cs="Arial"/>
        </w:rPr>
      </w:pPr>
      <w:r>
        <w:rPr>
          <w:rFonts w:ascii="Arial" w:hAnsi="Arial" w:cs="Arial"/>
        </w:rPr>
        <w:t>De aquí, la matriz de Covarianza se puede determinar por la siguiente ecuación:</w:t>
      </w:r>
    </w:p>
    <w:p w:rsidR="00000000" w:rsidRDefault="00BC67ED">
      <w:pPr>
        <w:pStyle w:val="Sangradetextonormal"/>
        <w:ind w:left="0"/>
        <w:rPr>
          <w:rFonts w:ascii="Arial" w:hAnsi="Arial" w:cs="Arial"/>
        </w:rPr>
      </w:pPr>
    </w:p>
    <w:p w:rsidR="00000000" w:rsidRDefault="00BC67ED">
      <w:pPr>
        <w:pStyle w:val="Sangradetextonormal"/>
        <w:ind w:left="0"/>
        <w:rPr>
          <w:rFonts w:ascii="Arial" w:hAnsi="Arial" w:cs="Arial"/>
        </w:rPr>
      </w:pPr>
    </w:p>
    <w:p w:rsidR="00000000" w:rsidRDefault="00BC67ED">
      <w:pPr>
        <w:pStyle w:val="Sangradetextonormal"/>
        <w:ind w:left="0"/>
        <w:jc w:val="center"/>
        <w:rPr>
          <w:rFonts w:ascii="Arial" w:hAnsi="Arial" w:cs="Arial"/>
        </w:rPr>
      </w:pPr>
      <w:r>
        <w:rPr>
          <w:rFonts w:ascii="Arial" w:hAnsi="Arial" w:cs="Arial"/>
        </w:rPr>
        <w:t xml:space="preserve">        </w:t>
      </w:r>
      <w:r>
        <w:rPr>
          <w:rFonts w:ascii="Arial" w:hAnsi="Arial" w:cs="Arial"/>
          <w:position w:val="-14"/>
        </w:rPr>
        <w:object w:dxaOrig="3200" w:dyaOrig="400">
          <v:shape id="_x0000_i1124" type="#_x0000_t75" style="width:160.15pt;height:20.15pt" o:ole="">
            <v:imagedata r:id="rId206" o:title=""/>
          </v:shape>
          <o:OLEObject Type="Embed" ProgID="Equation.3" ShapeID="_x0000_i1124" DrawAspect="Content" ObjectID="_1307787444" r:id="rId207"/>
        </w:object>
      </w:r>
    </w:p>
    <w:p w:rsidR="00000000" w:rsidRDefault="00BC67ED">
      <w:pPr>
        <w:pStyle w:val="Sangradetextonormal"/>
        <w:ind w:left="0"/>
        <w:rPr>
          <w:rFonts w:ascii="Arial" w:hAnsi="Arial" w:cs="Arial"/>
        </w:rPr>
      </w:pPr>
    </w:p>
    <w:p w:rsidR="00000000" w:rsidRDefault="00BC67ED">
      <w:pPr>
        <w:pStyle w:val="Sangradetextonormal"/>
        <w:ind w:left="0"/>
        <w:rPr>
          <w:rFonts w:ascii="Arial" w:hAnsi="Arial" w:cs="Arial"/>
        </w:rPr>
      </w:pPr>
    </w:p>
    <w:p w:rsidR="00000000" w:rsidRDefault="00BC67ED">
      <w:pPr>
        <w:pStyle w:val="Sangradetextonormal"/>
        <w:spacing w:line="480" w:lineRule="auto"/>
        <w:ind w:left="708"/>
        <w:jc w:val="both"/>
        <w:rPr>
          <w:rFonts w:ascii="Arial" w:hAnsi="Arial" w:cs="Arial"/>
        </w:rPr>
      </w:pPr>
      <w:r>
        <w:rPr>
          <w:rFonts w:ascii="Arial" w:hAnsi="Arial" w:cs="Arial"/>
        </w:rPr>
        <w:t>La matriz diagonal de la desviación estánda</w:t>
      </w:r>
      <w:r>
        <w:rPr>
          <w:rFonts w:ascii="Arial" w:hAnsi="Arial" w:cs="Arial"/>
        </w:rPr>
        <w:t xml:space="preserve">r </w:t>
      </w:r>
      <w:r>
        <w:rPr>
          <w:rFonts w:ascii="Arial" w:hAnsi="Arial" w:cs="Arial"/>
          <w:position w:val="-6"/>
        </w:rPr>
        <w:object w:dxaOrig="440" w:dyaOrig="320">
          <v:shape id="_x0000_i1125" type="#_x0000_t75" style="width:21.9pt;height:16.15pt" o:ole="">
            <v:imagedata r:id="rId208" o:title=""/>
          </v:shape>
          <o:OLEObject Type="Embed" ProgID="Equation.3" ShapeID="_x0000_i1125" DrawAspect="Content" ObjectID="_1307787445" r:id="rId209"/>
        </w:object>
      </w:r>
      <w:r>
        <w:rPr>
          <w:rFonts w:ascii="Arial" w:hAnsi="Arial" w:cs="Arial"/>
          <w:position w:val="-10"/>
        </w:rPr>
        <w:object w:dxaOrig="180" w:dyaOrig="340">
          <v:shape id="_x0000_i1126" type="#_x0000_t75" style="width:9.2pt;height:17.3pt" o:ole="">
            <v:imagedata r:id="rId196" o:title=""/>
          </v:shape>
          <o:OLEObject Type="Embed" ProgID="Equation.3" ShapeID="_x0000_i1126" DrawAspect="Content" ObjectID="_1307787446" r:id="rId210"/>
        </w:object>
      </w:r>
      <w:r>
        <w:rPr>
          <w:rFonts w:ascii="Arial" w:hAnsi="Arial" w:cs="Arial"/>
        </w:rPr>
        <w:t>esta establecida por:</w:t>
      </w:r>
    </w:p>
    <w:p w:rsidR="00000000" w:rsidRDefault="00BC67ED">
      <w:pPr>
        <w:pStyle w:val="Sangradetextonormal"/>
        <w:ind w:left="0"/>
        <w:rPr>
          <w:rFonts w:ascii="Arial" w:hAnsi="Arial" w:cs="Arial"/>
        </w:rPr>
      </w:pPr>
    </w:p>
    <w:p w:rsidR="00000000" w:rsidRDefault="00BC67ED">
      <w:pPr>
        <w:pStyle w:val="Sangradetextonormal"/>
        <w:ind w:left="0"/>
        <w:rPr>
          <w:rFonts w:ascii="Arial" w:hAnsi="Arial" w:cs="Arial"/>
        </w:rPr>
      </w:pPr>
    </w:p>
    <w:p w:rsidR="00000000" w:rsidRDefault="00BC67ED">
      <w:pPr>
        <w:pStyle w:val="Sangradetextonormal"/>
        <w:tabs>
          <w:tab w:val="num" w:pos="2188"/>
        </w:tabs>
        <w:ind w:left="0"/>
        <w:jc w:val="center"/>
        <w:rPr>
          <w:rFonts w:ascii="Arial" w:hAnsi="Arial" w:cs="Arial"/>
        </w:rPr>
      </w:pPr>
      <w:r>
        <w:rPr>
          <w:rFonts w:ascii="Arial" w:hAnsi="Arial" w:cs="Arial"/>
        </w:rPr>
        <w:t xml:space="preserve">      </w:t>
      </w:r>
      <w:r>
        <w:rPr>
          <w:rFonts w:ascii="Arial" w:hAnsi="Arial" w:cs="Arial"/>
          <w:position w:val="-10"/>
        </w:rPr>
        <w:object w:dxaOrig="180" w:dyaOrig="340">
          <v:shape id="_x0000_i1127" type="#_x0000_t75" style="width:9.2pt;height:17.3pt" o:ole="" o:bullet="t">
            <v:imagedata r:id="rId196" o:title=""/>
          </v:shape>
          <o:OLEObject Type="Embed" ProgID="Equation.3" ShapeID="_x0000_i1127" DrawAspect="Content" ObjectID="_1307787447" r:id="rId211"/>
        </w:object>
      </w:r>
      <w:r>
        <w:rPr>
          <w:rFonts w:ascii="Arial" w:hAnsi="Arial" w:cs="Arial"/>
          <w:position w:val="-72"/>
        </w:rPr>
        <w:object w:dxaOrig="3320" w:dyaOrig="1560">
          <v:shape id="_x0000_i1128" type="#_x0000_t75" style="width:165.9pt;height:77.75pt" o:ole="">
            <v:imagedata r:id="rId212" o:title=""/>
          </v:shape>
          <o:OLEObject Type="Embed" ProgID="Equation.3" ShapeID="_x0000_i1128" DrawAspect="Content" ObjectID="_1307787448" r:id="rId213"/>
        </w:object>
      </w:r>
    </w:p>
    <w:p w:rsidR="00000000" w:rsidRDefault="00BC67ED">
      <w:pPr>
        <w:pStyle w:val="Sangradetextonormal"/>
        <w:tabs>
          <w:tab w:val="num" w:pos="2188"/>
        </w:tabs>
        <w:ind w:left="0"/>
        <w:rPr>
          <w:rFonts w:ascii="Arial" w:hAnsi="Arial" w:cs="Arial"/>
        </w:rPr>
      </w:pPr>
    </w:p>
    <w:p w:rsidR="00000000" w:rsidRDefault="00BC67ED">
      <w:pPr>
        <w:pStyle w:val="Sangradetextonormal"/>
        <w:ind w:left="708"/>
        <w:rPr>
          <w:rFonts w:ascii="Arial" w:hAnsi="Arial" w:cs="Arial"/>
        </w:rPr>
      </w:pPr>
    </w:p>
    <w:p w:rsidR="00000000" w:rsidRDefault="00BC67ED">
      <w:pPr>
        <w:pStyle w:val="Sangradetextonormal"/>
        <w:spacing w:line="480" w:lineRule="auto"/>
        <w:ind w:left="708"/>
        <w:jc w:val="both"/>
        <w:rPr>
          <w:rFonts w:ascii="Arial" w:hAnsi="Arial" w:cs="Arial"/>
        </w:rPr>
      </w:pPr>
      <w:r>
        <w:rPr>
          <w:rFonts w:ascii="Arial" w:hAnsi="Arial" w:cs="Arial"/>
        </w:rPr>
        <w:lastRenderedPageBreak/>
        <w:t>Las  componentes principales pueden ser obtenidas a partir de los valores propios  de la matriz de correlación de la matriz X, qu</w:t>
      </w:r>
      <w:r>
        <w:rPr>
          <w:rFonts w:ascii="Arial" w:hAnsi="Arial" w:cs="Arial"/>
        </w:rPr>
        <w:t>e es la matriz de los datos observados.</w:t>
      </w:r>
    </w:p>
    <w:p w:rsidR="00000000" w:rsidRDefault="00BC67ED">
      <w:pPr>
        <w:pStyle w:val="Sangradetextonormal"/>
        <w:tabs>
          <w:tab w:val="num" w:pos="1260"/>
        </w:tabs>
        <w:spacing w:line="480" w:lineRule="auto"/>
        <w:ind w:left="708"/>
        <w:jc w:val="both"/>
        <w:rPr>
          <w:rFonts w:ascii="Arial" w:hAnsi="Arial" w:cs="Arial"/>
        </w:rPr>
      </w:pPr>
      <w:r>
        <w:rPr>
          <w:rFonts w:ascii="Arial" w:hAnsi="Arial" w:cs="Arial"/>
        </w:rPr>
        <w:t>Continuaremos utilizando la notación anteriormente empleada, así tenemos que la i-ésima componente esta determinada por:</w:t>
      </w:r>
    </w:p>
    <w:p w:rsidR="00000000" w:rsidRDefault="00BC67ED">
      <w:pPr>
        <w:pStyle w:val="Sangradetextonormal"/>
        <w:tabs>
          <w:tab w:val="num" w:pos="2188"/>
        </w:tabs>
        <w:ind w:left="0"/>
        <w:jc w:val="center"/>
        <w:rPr>
          <w:rFonts w:ascii="Arial" w:hAnsi="Arial" w:cs="Arial"/>
        </w:rPr>
      </w:pPr>
      <w:r>
        <w:rPr>
          <w:rFonts w:ascii="Arial" w:hAnsi="Arial" w:cs="Arial"/>
        </w:rPr>
        <w:t xml:space="preserve">                   </w:t>
      </w:r>
      <w:r>
        <w:rPr>
          <w:rFonts w:ascii="Arial" w:hAnsi="Arial" w:cs="Arial"/>
          <w:position w:val="-12"/>
        </w:rPr>
        <w:object w:dxaOrig="4280" w:dyaOrig="400">
          <v:shape id="_x0000_i1129" type="#_x0000_t75" style="width:214.25pt;height:20.15pt" o:ole="">
            <v:imagedata r:id="rId214" o:title=""/>
          </v:shape>
          <o:OLEObject Type="Embed" ProgID="Equation.3" ShapeID="_x0000_i1129" DrawAspect="Content" ObjectID="_1307787449" r:id="rId215"/>
        </w:object>
      </w:r>
    </w:p>
    <w:p w:rsidR="00000000" w:rsidRDefault="00BC67ED">
      <w:pPr>
        <w:pStyle w:val="Sangradetextonormal"/>
        <w:tabs>
          <w:tab w:val="num" w:pos="540"/>
        </w:tabs>
        <w:ind w:left="0"/>
        <w:rPr>
          <w:rFonts w:ascii="Arial" w:hAnsi="Arial" w:cs="Arial"/>
        </w:rPr>
      </w:pPr>
    </w:p>
    <w:p w:rsidR="00000000" w:rsidRDefault="00BC67ED">
      <w:pPr>
        <w:pStyle w:val="Sangradetextonormal"/>
        <w:tabs>
          <w:tab w:val="num" w:pos="540"/>
        </w:tabs>
        <w:ind w:left="708"/>
        <w:rPr>
          <w:rFonts w:ascii="Arial" w:hAnsi="Arial" w:cs="Arial"/>
        </w:rPr>
      </w:pPr>
      <w:r>
        <w:rPr>
          <w:rFonts w:ascii="Arial" w:hAnsi="Arial" w:cs="Arial"/>
        </w:rPr>
        <w:t>Además que</w:t>
      </w:r>
    </w:p>
    <w:p w:rsidR="00000000" w:rsidRDefault="00BC67ED">
      <w:pPr>
        <w:pStyle w:val="Sangradetextonormal"/>
        <w:tabs>
          <w:tab w:val="num" w:pos="540"/>
        </w:tabs>
        <w:ind w:left="0"/>
        <w:rPr>
          <w:rFonts w:ascii="Arial" w:hAnsi="Arial" w:cs="Arial"/>
        </w:rPr>
      </w:pPr>
    </w:p>
    <w:p w:rsidR="00000000" w:rsidRDefault="00BC67ED">
      <w:pPr>
        <w:pStyle w:val="Sangradetextonormal"/>
        <w:tabs>
          <w:tab w:val="num" w:pos="2188"/>
        </w:tabs>
        <w:ind w:left="0"/>
        <w:jc w:val="center"/>
        <w:rPr>
          <w:rFonts w:ascii="Arial" w:hAnsi="Arial" w:cs="Arial"/>
        </w:rPr>
      </w:pPr>
      <w:r>
        <w:rPr>
          <w:rFonts w:ascii="Arial" w:hAnsi="Arial" w:cs="Arial"/>
        </w:rPr>
        <w:t xml:space="preserve">   </w:t>
      </w:r>
      <w:r>
        <w:rPr>
          <w:rFonts w:ascii="Arial" w:hAnsi="Arial" w:cs="Arial"/>
          <w:position w:val="-28"/>
        </w:rPr>
        <w:object w:dxaOrig="2720" w:dyaOrig="680">
          <v:shape id="_x0000_i1130" type="#_x0000_t75" style="width:135.95pt;height:34pt" o:ole="">
            <v:imagedata r:id="rId216" o:title=""/>
          </v:shape>
          <o:OLEObject Type="Embed" ProgID="Equation.3" ShapeID="_x0000_i1130" DrawAspect="Content" ObjectID="_1307787450" r:id="rId217"/>
        </w:object>
      </w:r>
    </w:p>
    <w:p w:rsidR="00000000" w:rsidRDefault="00BC67ED">
      <w:pPr>
        <w:pStyle w:val="Sangradetextonormal"/>
        <w:tabs>
          <w:tab w:val="num" w:pos="180"/>
          <w:tab w:val="left" w:pos="720"/>
        </w:tabs>
        <w:ind w:left="708"/>
        <w:rPr>
          <w:rFonts w:ascii="Arial" w:hAnsi="Arial" w:cs="Arial"/>
        </w:rPr>
      </w:pPr>
      <w:r>
        <w:rPr>
          <w:rFonts w:ascii="Arial" w:hAnsi="Arial" w:cs="Arial"/>
        </w:rPr>
        <w:t>y</w:t>
      </w:r>
    </w:p>
    <w:p w:rsidR="00000000" w:rsidRDefault="00BC67ED">
      <w:pPr>
        <w:pStyle w:val="Sangradetextonormal"/>
        <w:tabs>
          <w:tab w:val="num" w:pos="180"/>
          <w:tab w:val="left" w:pos="720"/>
        </w:tabs>
        <w:ind w:left="0"/>
        <w:rPr>
          <w:rFonts w:ascii="Arial" w:hAnsi="Arial" w:cs="Arial"/>
        </w:rPr>
      </w:pPr>
    </w:p>
    <w:p w:rsidR="00000000" w:rsidRDefault="00BC67ED">
      <w:pPr>
        <w:pStyle w:val="Sangradetextonormal"/>
        <w:tabs>
          <w:tab w:val="num" w:pos="2188"/>
        </w:tabs>
        <w:ind w:left="0"/>
        <w:jc w:val="center"/>
        <w:rPr>
          <w:rFonts w:ascii="Arial" w:hAnsi="Arial" w:cs="Arial"/>
        </w:rPr>
      </w:pPr>
      <w:r>
        <w:rPr>
          <w:rFonts w:ascii="Arial" w:hAnsi="Arial" w:cs="Arial"/>
        </w:rPr>
        <w:t xml:space="preserve">       </w:t>
      </w:r>
      <w:r>
        <w:rPr>
          <w:rFonts w:ascii="Arial" w:hAnsi="Arial" w:cs="Arial"/>
          <w:position w:val="-14"/>
        </w:rPr>
        <w:object w:dxaOrig="3420" w:dyaOrig="420">
          <v:shape id="_x0000_i1131" type="#_x0000_t75" style="width:171.05pt;height:20.75pt" o:ole="">
            <v:imagedata r:id="rId218" o:title=""/>
          </v:shape>
          <o:OLEObject Type="Embed" ProgID="Equation.3" ShapeID="_x0000_i1131" DrawAspect="Content" ObjectID="_1307787451" r:id="rId219"/>
        </w:object>
      </w:r>
    </w:p>
    <w:p w:rsidR="00000000" w:rsidRDefault="00BC67ED">
      <w:pPr>
        <w:pStyle w:val="Sangradetextonormal"/>
        <w:tabs>
          <w:tab w:val="num" w:pos="2188"/>
        </w:tabs>
        <w:ind w:left="0"/>
        <w:jc w:val="center"/>
        <w:rPr>
          <w:rFonts w:ascii="Arial" w:hAnsi="Arial" w:cs="Arial"/>
        </w:rPr>
      </w:pPr>
    </w:p>
    <w:p w:rsidR="00000000" w:rsidRDefault="00BC67ED">
      <w:pPr>
        <w:pStyle w:val="Sangradetextonormal"/>
        <w:tabs>
          <w:tab w:val="num" w:pos="1080"/>
        </w:tabs>
        <w:spacing w:line="480" w:lineRule="auto"/>
        <w:ind w:left="708"/>
        <w:jc w:val="both"/>
        <w:rPr>
          <w:rFonts w:ascii="Arial" w:hAnsi="Arial" w:cs="Arial"/>
        </w:rPr>
      </w:pPr>
      <w:r>
        <w:rPr>
          <w:rFonts w:ascii="Arial" w:hAnsi="Arial" w:cs="Arial"/>
        </w:rPr>
        <w:t xml:space="preserve">En este caso </w:t>
      </w:r>
      <w:r>
        <w:rPr>
          <w:rFonts w:ascii="Arial" w:hAnsi="Arial" w:cs="Arial"/>
          <w:position w:val="-14"/>
        </w:rPr>
        <w:object w:dxaOrig="2380" w:dyaOrig="380">
          <v:shape id="_x0000_i1132" type="#_x0000_t75" style="width:119.25pt;height:19pt" o:ole="">
            <v:imagedata r:id="rId182" o:title=""/>
          </v:shape>
          <o:OLEObject Type="Embed" ProgID="Equation.3" ShapeID="_x0000_i1132" DrawAspect="Content" ObjectID="_1307787452" r:id="rId220"/>
        </w:object>
      </w:r>
      <w:r>
        <w:rPr>
          <w:rFonts w:ascii="Arial" w:hAnsi="Arial" w:cs="Arial"/>
        </w:rPr>
        <w:t xml:space="preserve"> son los pares de valores y vectores propios de la matriz de correlación </w:t>
      </w:r>
      <w:r>
        <w:rPr>
          <w:rFonts w:ascii="Arial" w:hAnsi="Arial" w:cs="Arial"/>
          <w:position w:val="-10"/>
        </w:rPr>
        <w:object w:dxaOrig="240" w:dyaOrig="260">
          <v:shape id="_x0000_i1133" type="#_x0000_t75" style="width:12.1pt;height:13.25pt" o:ole="">
            <v:imagedata r:id="rId221" o:title=""/>
          </v:shape>
          <o:OLEObject Type="Embed" ProgID="Equation.3" ShapeID="_x0000_i1133" DrawAspect="Content" ObjectID="_1307787453" r:id="rId222"/>
        </w:object>
      </w:r>
      <w:r>
        <w:rPr>
          <w:rFonts w:ascii="Arial" w:hAnsi="Arial" w:cs="Arial"/>
        </w:rPr>
        <w:t xml:space="preserve">, con </w:t>
      </w:r>
      <w:r>
        <w:rPr>
          <w:rFonts w:ascii="Arial" w:hAnsi="Arial" w:cs="Arial"/>
          <w:position w:val="-14"/>
        </w:rPr>
        <w:object w:dxaOrig="1560" w:dyaOrig="380">
          <v:shape id="_x0000_i1134" type="#_x0000_t75" style="width:77.75pt;height:19pt" o:ole="">
            <v:imagedata r:id="rId223" o:title=""/>
          </v:shape>
          <o:OLEObject Type="Embed" ProgID="Equation.3" ShapeID="_x0000_i1134" DrawAspect="Content" ObjectID="_1307787454" r:id="rId224"/>
        </w:object>
      </w:r>
    </w:p>
    <w:p w:rsidR="00000000" w:rsidRDefault="00BC67ED">
      <w:pPr>
        <w:pStyle w:val="Sangradetextonormal"/>
        <w:ind w:left="708"/>
        <w:rPr>
          <w:rFonts w:ascii="Arial" w:hAnsi="Arial" w:cs="Arial"/>
        </w:rPr>
      </w:pPr>
      <w:r>
        <w:rPr>
          <w:rFonts w:ascii="Arial" w:hAnsi="Arial" w:cs="Arial"/>
        </w:rPr>
        <w:t>Entonces obtenemos:</w:t>
      </w:r>
    </w:p>
    <w:p w:rsidR="00000000" w:rsidRDefault="00BC67ED">
      <w:pPr>
        <w:pStyle w:val="Sangradetextonormal"/>
        <w:tabs>
          <w:tab w:val="num" w:pos="720"/>
        </w:tabs>
        <w:ind w:left="0"/>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           </w:t>
      </w:r>
      <w:r>
        <w:rPr>
          <w:rFonts w:ascii="Arial" w:hAnsi="Arial" w:cs="Arial"/>
          <w:position w:val="-68"/>
        </w:rPr>
        <w:object w:dxaOrig="5460" w:dyaOrig="1480">
          <v:shape id="_x0000_i1135" type="#_x0000_t75" style="width:273pt;height:73.75pt" o:ole="">
            <v:imagedata r:id="rId225" o:title=""/>
          </v:shape>
          <o:OLEObject Type="Embed" ProgID="Equation.3" ShapeID="_x0000_i1135" DrawAspect="Content" ObjectID="_1307787455" r:id="rId226"/>
        </w:object>
      </w:r>
    </w:p>
    <w:p w:rsidR="00000000" w:rsidRDefault="00BC67ED">
      <w:pPr>
        <w:spacing w:line="480" w:lineRule="auto"/>
        <w:jc w:val="both"/>
        <w:rPr>
          <w:rFonts w:ascii="Arial" w:hAnsi="Arial" w:cs="Arial"/>
          <w:b/>
        </w:rPr>
      </w:pPr>
    </w:p>
    <w:p w:rsidR="00000000" w:rsidRDefault="00BC67ED" w:rsidP="00BC67ED">
      <w:pPr>
        <w:numPr>
          <w:ilvl w:val="2"/>
          <w:numId w:val="28"/>
        </w:numPr>
        <w:tabs>
          <w:tab w:val="clear" w:pos="2514"/>
          <w:tab w:val="num" w:pos="714"/>
        </w:tabs>
        <w:spacing w:line="480" w:lineRule="auto"/>
        <w:ind w:left="714" w:hanging="714"/>
        <w:jc w:val="both"/>
        <w:rPr>
          <w:rFonts w:ascii="Arial" w:hAnsi="Arial" w:cs="Arial"/>
          <w:b/>
        </w:rPr>
      </w:pPr>
      <w:r>
        <w:rPr>
          <w:rFonts w:ascii="Arial" w:hAnsi="Arial" w:cs="Arial"/>
          <w:b/>
          <w:bCs/>
          <w:spacing w:val="20"/>
        </w:rPr>
        <w:lastRenderedPageBreak/>
        <w:t xml:space="preserve">Determinación </w:t>
      </w:r>
      <w:r>
        <w:rPr>
          <w:rFonts w:ascii="Arial" w:hAnsi="Arial" w:cs="Arial"/>
          <w:b/>
          <w:bCs/>
          <w:spacing w:val="20"/>
        </w:rPr>
        <w:t>del Número Óptimo de Componentes Principales</w:t>
      </w:r>
    </w:p>
    <w:p w:rsidR="00000000" w:rsidRDefault="00BC67ED">
      <w:pPr>
        <w:pStyle w:val="Sangradetextonormal"/>
        <w:tabs>
          <w:tab w:val="num" w:pos="1260"/>
        </w:tabs>
        <w:spacing w:line="480" w:lineRule="auto"/>
        <w:ind w:left="708"/>
        <w:jc w:val="both"/>
        <w:rPr>
          <w:rFonts w:ascii="Arial" w:hAnsi="Arial" w:cs="Arial"/>
        </w:rPr>
      </w:pPr>
      <w:r>
        <w:rPr>
          <w:rFonts w:ascii="Arial" w:hAnsi="Arial" w:cs="Arial"/>
        </w:rPr>
        <w:t>Para determinar cual es el número óptimo de componentes principales con las que se debe trabajar existen cuatro métodos:</w:t>
      </w:r>
    </w:p>
    <w:p w:rsidR="00000000" w:rsidRDefault="00BC67ED" w:rsidP="00BC67ED">
      <w:pPr>
        <w:pStyle w:val="Sangradetextonormal"/>
        <w:numPr>
          <w:ilvl w:val="0"/>
          <w:numId w:val="29"/>
        </w:numPr>
        <w:tabs>
          <w:tab w:val="clear" w:pos="2157"/>
          <w:tab w:val="num" w:pos="1068"/>
        </w:tabs>
        <w:spacing w:after="0" w:line="480" w:lineRule="auto"/>
        <w:ind w:left="1068"/>
        <w:jc w:val="both"/>
        <w:rPr>
          <w:rFonts w:ascii="Arial" w:hAnsi="Arial" w:cs="Arial"/>
        </w:rPr>
      </w:pPr>
      <w:r>
        <w:rPr>
          <w:rFonts w:ascii="Arial" w:hAnsi="Arial" w:cs="Arial"/>
        </w:rPr>
        <w:t>Quizás el método mas utilizado sea el implantado por Káiser en 1960. Este criterio consist</w:t>
      </w:r>
      <w:r>
        <w:rPr>
          <w:rFonts w:ascii="Arial" w:hAnsi="Arial" w:cs="Arial"/>
        </w:rPr>
        <w:t>e en retener solo aquellas  componentes  cuyos valores sean mayores  que 1. Para establecer la acuracidad de este método se han realizado estudios,  en los cuales se han considerado entre 10 y 40 variables. En estos estudios, el criterio tuvo acuracidad cu</w:t>
      </w:r>
      <w:r>
        <w:rPr>
          <w:rFonts w:ascii="Arial" w:hAnsi="Arial" w:cs="Arial"/>
        </w:rPr>
        <w:t>ando el número de variables  era alto. La acuracidad de un grupo de datos o instrumento de medida se refiere al grado de uniformidad de las observaciones alrededor de un valor deseado tal como el promedio, o un valor objetivo deseado.</w:t>
      </w:r>
    </w:p>
    <w:p w:rsidR="00000000" w:rsidRDefault="00BC67ED">
      <w:pPr>
        <w:pStyle w:val="Sangradetextonormal"/>
        <w:tabs>
          <w:tab w:val="left" w:pos="1080"/>
          <w:tab w:val="num" w:pos="2160"/>
        </w:tabs>
        <w:ind w:left="1071" w:hanging="360"/>
        <w:jc w:val="both"/>
        <w:rPr>
          <w:rFonts w:ascii="Arial" w:hAnsi="Arial" w:cs="Arial"/>
        </w:rPr>
      </w:pPr>
    </w:p>
    <w:p w:rsidR="00000000" w:rsidRDefault="00BC67ED" w:rsidP="00BC67ED">
      <w:pPr>
        <w:pStyle w:val="Sangradetextonormal"/>
        <w:numPr>
          <w:ilvl w:val="0"/>
          <w:numId w:val="29"/>
        </w:numPr>
        <w:tabs>
          <w:tab w:val="clear" w:pos="2157"/>
          <w:tab w:val="num" w:pos="1071"/>
        </w:tabs>
        <w:spacing w:after="0" w:line="480" w:lineRule="auto"/>
        <w:ind w:left="1068"/>
        <w:jc w:val="both"/>
        <w:rPr>
          <w:rFonts w:ascii="Arial" w:hAnsi="Arial" w:cs="Arial"/>
        </w:rPr>
      </w:pPr>
      <w:r>
        <w:rPr>
          <w:rFonts w:ascii="Arial" w:hAnsi="Arial" w:cs="Arial"/>
        </w:rPr>
        <w:t>El método gráfico ll</w:t>
      </w:r>
      <w:r>
        <w:rPr>
          <w:rFonts w:ascii="Arial" w:hAnsi="Arial" w:cs="Arial"/>
        </w:rPr>
        <w:t>amado Prueba Scree, el cual fue  propuesto por Castell en 1966. En este método la magnitud de los valores son graficados en el orden en el que fueron obtenidos, generalmente los sucesivos valores propios descienden rápidamente, se recomienda trabajar con l</w:t>
      </w:r>
      <w:r>
        <w:rPr>
          <w:rFonts w:ascii="Arial" w:hAnsi="Arial" w:cs="Arial"/>
        </w:rPr>
        <w:t>as componentes principales correspondientes a los valores propios hasta observar el descenso más pronunciado.</w:t>
      </w:r>
    </w:p>
    <w:p w:rsidR="00000000" w:rsidRDefault="00BC67ED">
      <w:pPr>
        <w:pStyle w:val="Sangradetextonormal"/>
        <w:tabs>
          <w:tab w:val="num" w:pos="2160"/>
        </w:tabs>
        <w:ind w:left="1071" w:hanging="360"/>
        <w:jc w:val="both"/>
        <w:rPr>
          <w:rFonts w:ascii="Arial" w:hAnsi="Arial" w:cs="Arial"/>
        </w:rPr>
      </w:pPr>
    </w:p>
    <w:p w:rsidR="00000000" w:rsidRDefault="00BC67ED" w:rsidP="00BC67ED">
      <w:pPr>
        <w:pStyle w:val="Sangradetextonormal"/>
        <w:numPr>
          <w:ilvl w:val="0"/>
          <w:numId w:val="29"/>
        </w:numPr>
        <w:tabs>
          <w:tab w:val="clear" w:pos="2157"/>
          <w:tab w:val="num" w:pos="1071"/>
        </w:tabs>
        <w:spacing w:after="0" w:line="480" w:lineRule="auto"/>
        <w:ind w:left="1068"/>
        <w:jc w:val="both"/>
        <w:rPr>
          <w:rFonts w:ascii="Arial" w:hAnsi="Arial" w:cs="Arial"/>
        </w:rPr>
      </w:pPr>
      <w:r>
        <w:rPr>
          <w:rFonts w:ascii="Arial" w:hAnsi="Arial" w:cs="Arial"/>
        </w:rPr>
        <w:t>Este método fue desarrollado por Lawlwv en 1940, consiste en realizar  una prueba estadística significativa para el número de factores  que se de</w:t>
      </w:r>
      <w:r>
        <w:rPr>
          <w:rFonts w:ascii="Arial" w:hAnsi="Arial" w:cs="Arial"/>
        </w:rPr>
        <w:t>ben de retener, sin embargo, como todas las pruebas estadísticas, se ve influenciado por el tamaño de la muestra, y un tamaño de muestra grande producirá la retención de un número alto de componentes principales.</w:t>
      </w:r>
    </w:p>
    <w:p w:rsidR="00000000" w:rsidRDefault="00BC67ED">
      <w:pPr>
        <w:pStyle w:val="Sangradetextonormal"/>
        <w:tabs>
          <w:tab w:val="num" w:pos="2160"/>
        </w:tabs>
        <w:ind w:left="1071" w:hanging="360"/>
        <w:jc w:val="both"/>
        <w:rPr>
          <w:rFonts w:ascii="Arial" w:hAnsi="Arial" w:cs="Arial"/>
        </w:rPr>
      </w:pPr>
    </w:p>
    <w:p w:rsidR="00000000" w:rsidRDefault="00BC67ED">
      <w:pPr>
        <w:pStyle w:val="Sangradetextonormal"/>
        <w:tabs>
          <w:tab w:val="num" w:pos="2160"/>
        </w:tabs>
        <w:ind w:left="1071" w:hanging="360"/>
        <w:jc w:val="both"/>
        <w:rPr>
          <w:rFonts w:ascii="Arial" w:hAnsi="Arial" w:cs="Arial"/>
        </w:rPr>
      </w:pPr>
    </w:p>
    <w:p w:rsidR="00000000" w:rsidRDefault="00BC67ED" w:rsidP="00BC67ED">
      <w:pPr>
        <w:pStyle w:val="Sangradetextonormal"/>
        <w:numPr>
          <w:ilvl w:val="0"/>
          <w:numId w:val="29"/>
        </w:numPr>
        <w:tabs>
          <w:tab w:val="clear" w:pos="2157"/>
          <w:tab w:val="num" w:pos="1071"/>
        </w:tabs>
        <w:spacing w:after="0" w:line="480" w:lineRule="auto"/>
        <w:ind w:left="1068"/>
        <w:jc w:val="both"/>
        <w:rPr>
          <w:rFonts w:ascii="Arial" w:hAnsi="Arial" w:cs="Arial"/>
        </w:rPr>
      </w:pPr>
      <w:r>
        <w:rPr>
          <w:rFonts w:ascii="Arial" w:hAnsi="Arial" w:cs="Arial"/>
        </w:rPr>
        <w:t>El último método consiste en retener tant</w:t>
      </w:r>
      <w:r>
        <w:rPr>
          <w:rFonts w:ascii="Arial" w:hAnsi="Arial" w:cs="Arial"/>
        </w:rPr>
        <w:t>as componentes principales  como para contener al menos entre el 80% y el 90% de la varianza  total explicada, mediante este método se retienen sólo las variables que son esenciales para las variables especificadas.</w:t>
      </w:r>
    </w:p>
    <w:p w:rsidR="00000000" w:rsidRDefault="00BC67ED">
      <w:pPr>
        <w:spacing w:line="480" w:lineRule="auto"/>
        <w:jc w:val="both"/>
        <w:rPr>
          <w:rFonts w:ascii="Arial" w:hAnsi="Arial" w:cs="Arial"/>
          <w:b/>
        </w:rPr>
      </w:pPr>
    </w:p>
    <w:p w:rsidR="00000000" w:rsidRDefault="00BC67ED">
      <w:pPr>
        <w:spacing w:line="480" w:lineRule="auto"/>
        <w:jc w:val="both"/>
        <w:rPr>
          <w:rFonts w:ascii="Arial" w:hAnsi="Arial" w:cs="Arial"/>
          <w:b/>
        </w:rPr>
      </w:pPr>
    </w:p>
    <w:p w:rsidR="00000000" w:rsidRDefault="00BC67ED" w:rsidP="00BC67ED">
      <w:pPr>
        <w:numPr>
          <w:ilvl w:val="1"/>
          <w:numId w:val="28"/>
        </w:numPr>
        <w:tabs>
          <w:tab w:val="clear" w:pos="1797"/>
          <w:tab w:val="num" w:pos="720"/>
        </w:tabs>
        <w:spacing w:line="480" w:lineRule="auto"/>
        <w:ind w:left="720"/>
        <w:jc w:val="both"/>
        <w:rPr>
          <w:rFonts w:ascii="Arial" w:hAnsi="Arial" w:cs="Arial"/>
          <w:b/>
          <w:caps/>
        </w:rPr>
      </w:pPr>
      <w:r>
        <w:rPr>
          <w:rFonts w:ascii="Arial" w:hAnsi="Arial" w:cs="Arial"/>
          <w:b/>
          <w:caps/>
        </w:rPr>
        <w:t>Análisis de Correspondencias: Las matr</w:t>
      </w:r>
      <w:r>
        <w:rPr>
          <w:rFonts w:ascii="Arial" w:hAnsi="Arial" w:cs="Arial"/>
          <w:b/>
          <w:caps/>
        </w:rPr>
        <w:t>ices multidimensionales.</w:t>
      </w:r>
    </w:p>
    <w:p w:rsidR="00000000" w:rsidRDefault="00BC67ED">
      <w:pPr>
        <w:pStyle w:val="Sangradetextonormal"/>
        <w:spacing w:after="0" w:line="480" w:lineRule="auto"/>
        <w:ind w:left="708"/>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t>El análisis de correspondencias, básicamente es un doble análisis de componentes principales, uno realizado sobre las filas y el segundo sobre las columnas de la matriz de partida.</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lastRenderedPageBreak/>
        <w:t>Es una herramienta orientada como ayuda en la ge</w:t>
      </w:r>
      <w:r>
        <w:rPr>
          <w:rFonts w:ascii="Arial" w:hAnsi="Arial" w:cs="Arial"/>
        </w:rPr>
        <w:t xml:space="preserve">neración de teorías, facilitando la elección previa de las características o modalidades más significativas, frente a otros criterios de tipo teórico. Basándose la técnica más en las características de análisis generales e intuitivos frente a otro tipo de </w:t>
      </w:r>
      <w:r>
        <w:rPr>
          <w:rFonts w:ascii="Arial" w:hAnsi="Arial" w:cs="Arial"/>
        </w:rPr>
        <w:t>análisis más detallados.</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r>
        <w:rPr>
          <w:rFonts w:ascii="Arial" w:hAnsi="Arial" w:cs="Arial"/>
        </w:rPr>
        <w:t xml:space="preserve">Si bien los análisis deben ser guiados por un marco teórico previo (explícito), de hecho las metodologías cualitativas, debido a su flexibilidad, pueden hacer que los elementos subjetivos produzcan resultados sesgados. </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b/>
        </w:rPr>
      </w:pPr>
      <w:r>
        <w:rPr>
          <w:rFonts w:ascii="Arial" w:hAnsi="Arial" w:cs="Arial"/>
        </w:rPr>
        <w:t>Precisame</w:t>
      </w:r>
      <w:r>
        <w:rPr>
          <w:rFonts w:ascii="Arial" w:hAnsi="Arial" w:cs="Arial"/>
        </w:rPr>
        <w:t>nte el uso de ordenadores reduce este problema en la medida que los distintos aspectos son obtenidos mediante una operativización previa de los criterios utilizados, evitando un sobrevaloración humana de algunos elementos por parte del investigador y no ap</w:t>
      </w:r>
      <w:r>
        <w:rPr>
          <w:rFonts w:ascii="Arial" w:hAnsi="Arial" w:cs="Arial"/>
        </w:rPr>
        <w:t>oyada en los datos.</w:t>
      </w:r>
    </w:p>
    <w:p w:rsidR="00000000" w:rsidRDefault="00BC67ED">
      <w:pPr>
        <w:pStyle w:val="NormalWeb"/>
        <w:spacing w:line="480" w:lineRule="auto"/>
        <w:ind w:left="720"/>
        <w:jc w:val="both"/>
        <w:rPr>
          <w:rFonts w:ascii="Arial" w:hAnsi="Arial" w:cs="Arial"/>
        </w:rPr>
      </w:pPr>
      <w:r>
        <w:rPr>
          <w:rFonts w:ascii="Arial" w:hAnsi="Arial" w:cs="Arial"/>
        </w:rPr>
        <w:t xml:space="preserve">La estructura más común de las matrices multidimensionales, Tablas de individuos x variables cuantitativas, pude representarse de la siguiente forma:  </w:t>
      </w:r>
    </w:p>
    <w:p w:rsidR="00000000" w:rsidRDefault="00BC67ED">
      <w:pPr>
        <w:pStyle w:val="NormalWeb"/>
        <w:spacing w:line="480" w:lineRule="auto"/>
        <w:ind w:left="720"/>
        <w:jc w:val="both"/>
        <w:rPr>
          <w:rFonts w:ascii="Arial" w:hAnsi="Arial" w:cs="Arial"/>
        </w:rPr>
      </w:pPr>
    </w:p>
    <w:p w:rsidR="00000000" w:rsidRDefault="00BC67ED">
      <w:pPr>
        <w:pStyle w:val="NormalWeb"/>
        <w:spacing w:line="480" w:lineRule="auto"/>
        <w:ind w:left="720"/>
        <w:jc w:val="both"/>
        <w:rPr>
          <w:rFonts w:ascii="Arial" w:hAnsi="Arial" w:cs="Arial"/>
        </w:rPr>
      </w:pPr>
    </w:p>
    <w:tbl>
      <w:tblPr>
        <w:tblW w:w="3575" w:type="pct"/>
        <w:tblCellSpacing w:w="15" w:type="dxa"/>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968"/>
        <w:gridCol w:w="429"/>
        <w:gridCol w:w="717"/>
        <w:gridCol w:w="717"/>
        <w:gridCol w:w="717"/>
        <w:gridCol w:w="717"/>
        <w:gridCol w:w="732"/>
      </w:tblGrid>
      <w:tr w:rsidR="00000000">
        <w:trPr>
          <w:tblCellSpacing w:w="15" w:type="dxa"/>
        </w:trPr>
        <w:tc>
          <w:tcPr>
            <w:tcW w:w="0" w:type="auto"/>
            <w:gridSpan w:val="7"/>
          </w:tcPr>
          <w:p w:rsidR="00000000" w:rsidRDefault="00BC67ED">
            <w:pPr>
              <w:spacing w:line="360" w:lineRule="auto"/>
              <w:jc w:val="center"/>
            </w:pPr>
            <w:r>
              <w:rPr>
                <w:rFonts w:ascii="Courier New" w:hAnsi="Courier New" w:cs="Courier New"/>
                <w:b/>
                <w:bCs/>
              </w:rPr>
              <w:lastRenderedPageBreak/>
              <w:t>VARIABLES</w:t>
            </w:r>
          </w:p>
        </w:tc>
      </w:tr>
      <w:tr w:rsidR="00000000">
        <w:trPr>
          <w:cantSplit/>
          <w:tblCellSpacing w:w="15" w:type="dxa"/>
        </w:trPr>
        <w:tc>
          <w:tcPr>
            <w:tcW w:w="0" w:type="auto"/>
            <w:vMerge w:val="restart"/>
          </w:tcPr>
          <w:p w:rsidR="00000000" w:rsidRDefault="00BC67ED">
            <w:pPr>
              <w:jc w:val="center"/>
            </w:pPr>
            <w:r>
              <w:rPr>
                <w:rFonts w:ascii="Courier New" w:hAnsi="Courier New" w:cs="Courier New"/>
                <w:b/>
                <w:bCs/>
              </w:rPr>
              <w:t>Observaciones</w:t>
            </w:r>
          </w:p>
        </w:tc>
        <w:tc>
          <w:tcPr>
            <w:tcW w:w="0" w:type="auto"/>
          </w:tcPr>
          <w:p w:rsidR="00000000" w:rsidRDefault="00BC67ED">
            <w:pPr>
              <w:jc w:val="center"/>
            </w:pPr>
          </w:p>
        </w:tc>
        <w:tc>
          <w:tcPr>
            <w:tcW w:w="0" w:type="auto"/>
          </w:tcPr>
          <w:p w:rsidR="00000000" w:rsidRDefault="00BC67ED">
            <w:pPr>
              <w:jc w:val="center"/>
            </w:pPr>
            <w:r>
              <w:rPr>
                <w:rFonts w:ascii="Courier New" w:hAnsi="Courier New" w:cs="Courier New"/>
                <w:b/>
                <w:bCs/>
              </w:rPr>
              <w:t>X</w:t>
            </w:r>
            <w:r>
              <w:rPr>
                <w:rFonts w:ascii="Courier New" w:hAnsi="Courier New" w:cs="Courier New"/>
                <w:b/>
                <w:bCs/>
                <w:vertAlign w:val="subscript"/>
              </w:rPr>
              <w:t>1</w:t>
            </w:r>
          </w:p>
        </w:tc>
        <w:tc>
          <w:tcPr>
            <w:tcW w:w="0" w:type="auto"/>
          </w:tcPr>
          <w:p w:rsidR="00000000" w:rsidRDefault="00BC67ED">
            <w:pPr>
              <w:jc w:val="center"/>
            </w:pPr>
            <w:r>
              <w:rPr>
                <w:rFonts w:ascii="Courier New" w:hAnsi="Courier New" w:cs="Courier New"/>
                <w:b/>
                <w:bCs/>
              </w:rPr>
              <w:t>X</w:t>
            </w:r>
            <w:r>
              <w:rPr>
                <w:rFonts w:ascii="Courier New" w:hAnsi="Courier New" w:cs="Courier New"/>
                <w:b/>
                <w:bCs/>
                <w:vertAlign w:val="subscript"/>
              </w:rPr>
              <w:t>2</w:t>
            </w:r>
          </w:p>
        </w:tc>
        <w:tc>
          <w:tcPr>
            <w:tcW w:w="0" w:type="auto"/>
          </w:tcPr>
          <w:p w:rsidR="00000000" w:rsidRDefault="00BC67ED">
            <w:pPr>
              <w:jc w:val="center"/>
            </w:pPr>
            <w:r>
              <w:rPr>
                <w:rFonts w:ascii="Courier New" w:hAnsi="Courier New" w:cs="Courier New"/>
                <w:b/>
                <w:bCs/>
              </w:rPr>
              <w:t>X</w:t>
            </w:r>
            <w:r>
              <w:rPr>
                <w:rFonts w:ascii="Courier New" w:hAnsi="Courier New" w:cs="Courier New"/>
                <w:b/>
                <w:bCs/>
                <w:vertAlign w:val="subscript"/>
              </w:rPr>
              <w:t>3</w:t>
            </w:r>
          </w:p>
        </w:tc>
        <w:tc>
          <w:tcPr>
            <w:tcW w:w="0" w:type="auto"/>
          </w:tcPr>
          <w:p w:rsidR="00000000" w:rsidRDefault="00BC67ED">
            <w:pPr>
              <w:jc w:val="center"/>
            </w:pPr>
            <w:r>
              <w:rPr>
                <w:rFonts w:ascii="Courier New" w:hAnsi="Courier New" w:cs="Courier New"/>
                <w:b/>
                <w:bCs/>
              </w:rPr>
              <w:t>...</w:t>
            </w:r>
          </w:p>
        </w:tc>
        <w:tc>
          <w:tcPr>
            <w:tcW w:w="0" w:type="auto"/>
          </w:tcPr>
          <w:p w:rsidR="00000000" w:rsidRDefault="00BC67ED">
            <w:pPr>
              <w:jc w:val="center"/>
            </w:pPr>
            <w:r>
              <w:rPr>
                <w:rFonts w:ascii="Courier New" w:hAnsi="Courier New" w:cs="Courier New"/>
                <w:b/>
                <w:bCs/>
              </w:rPr>
              <w:t>X</w:t>
            </w:r>
            <w:r>
              <w:rPr>
                <w:rFonts w:ascii="Courier New" w:hAnsi="Courier New" w:cs="Courier New"/>
                <w:b/>
                <w:bCs/>
                <w:vertAlign w:val="subscript"/>
              </w:rPr>
              <w:t>p</w:t>
            </w:r>
          </w:p>
        </w:tc>
      </w:tr>
      <w:tr w:rsidR="00000000">
        <w:trPr>
          <w:cantSplit/>
          <w:trHeight w:val="330"/>
          <w:tblCellSpacing w:w="15" w:type="dxa"/>
        </w:trPr>
        <w:tc>
          <w:tcPr>
            <w:tcW w:w="0" w:type="auto"/>
            <w:vMerge/>
            <w:vAlign w:val="center"/>
          </w:tcPr>
          <w:p w:rsidR="00000000" w:rsidRDefault="00BC67ED"/>
        </w:tc>
        <w:tc>
          <w:tcPr>
            <w:tcW w:w="0" w:type="auto"/>
          </w:tcPr>
          <w:p w:rsidR="00000000" w:rsidRDefault="00BC67ED">
            <w:pPr>
              <w:jc w:val="center"/>
            </w:pPr>
            <w:r>
              <w:rPr>
                <w:rFonts w:ascii="Courier New" w:hAnsi="Courier New" w:cs="Courier New"/>
                <w:b/>
                <w:bCs/>
              </w:rPr>
              <w:t>1</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2</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3</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w:t>
            </w:r>
            <w:r>
              <w:rPr>
                <w:rFonts w:ascii="Courier New" w:hAnsi="Courier New" w:cs="Courier New"/>
              </w:rPr>
              <w:t> </w:t>
            </w:r>
            <w:r>
              <w:t xml:space="preserve">  </w:t>
            </w:r>
          </w:p>
          <w:p w:rsidR="00000000" w:rsidRDefault="00BC67ED">
            <w:pPr>
              <w:pStyle w:val="NormalWeb"/>
              <w:jc w:val="center"/>
            </w:pPr>
            <w:r>
              <w:rPr>
                <w:rFonts w:ascii="Courier New" w:hAnsi="Courier New" w:cs="Courier New"/>
                <w:b/>
                <w:bCs/>
              </w:rPr>
              <w:t>n</w:t>
            </w:r>
          </w:p>
        </w:tc>
        <w:tc>
          <w:tcPr>
            <w:tcW w:w="0" w:type="auto"/>
          </w:tcPr>
          <w:p w:rsidR="00000000" w:rsidRDefault="00BC67ED">
            <w:pPr>
              <w:jc w:val="center"/>
            </w:pPr>
            <w:r>
              <w:rPr>
                <w:rFonts w:ascii="Courier New" w:hAnsi="Courier New" w:cs="Courier New"/>
              </w:rPr>
              <w:t>x</w:t>
            </w:r>
            <w:r>
              <w:rPr>
                <w:rFonts w:ascii="Courier New" w:hAnsi="Courier New" w:cs="Courier New"/>
                <w:vertAlign w:val="subscript"/>
              </w:rPr>
              <w:t>11</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21</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31</w:t>
            </w:r>
            <w:r>
              <w:rPr>
                <w:rFonts w:ascii="Courier New" w:hAnsi="Courier New" w:cs="Courier New"/>
              </w:rPr>
              <w:t> </w:t>
            </w:r>
            <w:r>
              <w:t xml:space="preserve">  </w:t>
            </w:r>
            <w:r>
              <w:br/>
            </w:r>
            <w:r>
              <w:rPr>
                <w:rFonts w:ascii="Courier New" w:hAnsi="Courier New" w:cs="Courier New"/>
              </w:rPr>
              <w:t> </w:t>
            </w:r>
            <w:r>
              <w:t xml:space="preserve">  </w:t>
            </w:r>
            <w:r>
              <w:b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n1</w:t>
            </w:r>
          </w:p>
        </w:tc>
        <w:tc>
          <w:tcPr>
            <w:tcW w:w="0" w:type="auto"/>
          </w:tcPr>
          <w:p w:rsidR="00000000" w:rsidRDefault="00BC67ED">
            <w:pPr>
              <w:jc w:val="center"/>
            </w:pPr>
            <w:r>
              <w:rPr>
                <w:rFonts w:ascii="Courier New" w:hAnsi="Courier New" w:cs="Courier New"/>
              </w:rPr>
              <w:t>x</w:t>
            </w:r>
            <w:r>
              <w:rPr>
                <w:rFonts w:ascii="Courier New" w:hAnsi="Courier New" w:cs="Courier New"/>
                <w:vertAlign w:val="subscript"/>
              </w:rPr>
              <w:t>12</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22</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32</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n2</w:t>
            </w:r>
          </w:p>
        </w:tc>
        <w:tc>
          <w:tcPr>
            <w:tcW w:w="0" w:type="auto"/>
          </w:tcPr>
          <w:p w:rsidR="00000000" w:rsidRDefault="00BC67ED">
            <w:pPr>
              <w:jc w:val="center"/>
            </w:pPr>
            <w:r>
              <w:rPr>
                <w:rFonts w:ascii="Courier New" w:hAnsi="Courier New" w:cs="Courier New"/>
              </w:rPr>
              <w:t>x</w:t>
            </w:r>
            <w:r>
              <w:rPr>
                <w:rFonts w:ascii="Courier New" w:hAnsi="Courier New" w:cs="Courier New"/>
                <w:vertAlign w:val="subscript"/>
              </w:rPr>
              <w:t>13</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23</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33</w:t>
            </w:r>
            <w:r>
              <w:rPr>
                <w:rFonts w:ascii="Courier New" w:hAnsi="Courier New" w:cs="Courier New"/>
              </w:rPr>
              <w:t> </w:t>
            </w:r>
            <w:r>
              <w:t xml:space="preserve">  </w:t>
            </w:r>
            <w:r>
              <w:br/>
            </w:r>
            <w:r>
              <w:rPr>
                <w:rFonts w:ascii="Courier New" w:hAnsi="Courier New" w:cs="Courier New"/>
              </w:rPr>
              <w:t> </w:t>
            </w:r>
            <w:r>
              <w:t xml:space="preserve">  </w:t>
            </w:r>
            <w:r>
              <w:b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n3</w:t>
            </w:r>
          </w:p>
        </w:tc>
        <w:tc>
          <w:tcPr>
            <w:tcW w:w="0" w:type="auto"/>
          </w:tcPr>
          <w:p w:rsidR="00000000" w:rsidRDefault="00BC67ED">
            <w:pPr>
              <w:jc w:val="center"/>
            </w:pP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r>
              <w:br/>
              <w:t xml:space="preserve">  </w:t>
            </w:r>
            <w:r>
              <w:b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p>
          <w:p w:rsidR="00000000" w:rsidRDefault="00BC67ED">
            <w:pPr>
              <w:pStyle w:val="NormalWeb"/>
              <w:jc w:val="center"/>
            </w:pPr>
            <w:r>
              <w:rPr>
                <w:rFonts w:ascii="Courier New" w:hAnsi="Courier New" w:cs="Courier New"/>
              </w:rPr>
              <w:t>...</w:t>
            </w:r>
          </w:p>
        </w:tc>
        <w:tc>
          <w:tcPr>
            <w:tcW w:w="0" w:type="auto"/>
          </w:tcPr>
          <w:p w:rsidR="00000000" w:rsidRDefault="00BC67ED">
            <w:pPr>
              <w:jc w:val="center"/>
            </w:pPr>
            <w:r>
              <w:rPr>
                <w:rFonts w:ascii="Courier New" w:hAnsi="Courier New" w:cs="Courier New"/>
              </w:rPr>
              <w:t>x</w:t>
            </w:r>
            <w:r>
              <w:rPr>
                <w:rFonts w:ascii="Courier New" w:hAnsi="Courier New" w:cs="Courier New"/>
                <w:vertAlign w:val="subscript"/>
              </w:rPr>
              <w:t>1p</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2p</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3p</w:t>
            </w: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p>
          <w:p w:rsidR="00000000" w:rsidRDefault="00BC67ED">
            <w:pPr>
              <w:pStyle w:val="NormalWeb"/>
              <w:jc w:val="center"/>
            </w:pPr>
            <w:r>
              <w:rPr>
                <w:rFonts w:ascii="Courier New" w:hAnsi="Courier New" w:cs="Courier New"/>
              </w:rPr>
              <w:t>... </w:t>
            </w:r>
            <w:r>
              <w:t xml:space="preserve">  </w:t>
            </w:r>
            <w:r>
              <w:br/>
            </w:r>
            <w:r>
              <w:rPr>
                <w:rFonts w:ascii="Courier New" w:hAnsi="Courier New" w:cs="Courier New"/>
              </w:rPr>
              <w:t> </w:t>
            </w:r>
            <w:r>
              <w:t xml:space="preserve">  </w:t>
            </w:r>
          </w:p>
          <w:p w:rsidR="00000000" w:rsidRDefault="00BC67ED">
            <w:pPr>
              <w:pStyle w:val="NormalWeb"/>
              <w:jc w:val="center"/>
            </w:pPr>
            <w:r>
              <w:rPr>
                <w:rFonts w:ascii="Courier New" w:hAnsi="Courier New" w:cs="Courier New"/>
              </w:rPr>
              <w:t>x</w:t>
            </w:r>
            <w:r>
              <w:rPr>
                <w:rFonts w:ascii="Courier New" w:hAnsi="Courier New" w:cs="Courier New"/>
                <w:vertAlign w:val="subscript"/>
              </w:rPr>
              <w:t>n</w:t>
            </w:r>
            <w:r>
              <w:rPr>
                <w:vertAlign w:val="subscript"/>
              </w:rPr>
              <w:t>p</w:t>
            </w:r>
          </w:p>
        </w:tc>
      </w:tr>
    </w:tbl>
    <w:p w:rsidR="00000000" w:rsidRDefault="00BC67ED">
      <w:pPr>
        <w:pStyle w:val="NormalWeb"/>
        <w:spacing w:line="360" w:lineRule="auto"/>
        <w:ind w:left="720"/>
        <w:jc w:val="center"/>
        <w:rPr>
          <w:rFonts w:ascii="Arial" w:hAnsi="Arial" w:cs="Arial"/>
        </w:rPr>
      </w:pPr>
      <w:r>
        <w:rPr>
          <w:rFonts w:ascii="Arial" w:hAnsi="Arial" w:cs="Arial"/>
          <w:b/>
          <w:color w:val="000000"/>
        </w:rPr>
        <w:t xml:space="preserve">       Tabla 1: Tabla de individuos por variables</w:t>
      </w:r>
      <w:r>
        <w:rPr>
          <w:rFonts w:ascii="Arial" w:hAnsi="Arial" w:cs="Arial"/>
          <w:b/>
          <w:color w:val="000000"/>
        </w:rPr>
        <w:t>.</w:t>
      </w:r>
    </w:p>
    <w:p w:rsidR="00000000" w:rsidRDefault="00BC67ED">
      <w:pPr>
        <w:pStyle w:val="NormalWeb"/>
        <w:spacing w:line="360" w:lineRule="auto"/>
        <w:ind w:left="720"/>
        <w:jc w:val="both"/>
        <w:rPr>
          <w:rFonts w:ascii="Arial" w:hAnsi="Arial" w:cs="Arial"/>
          <w:color w:val="000000"/>
        </w:rPr>
      </w:pPr>
    </w:p>
    <w:p w:rsidR="00000000" w:rsidRDefault="00BC67ED">
      <w:pPr>
        <w:pStyle w:val="NormalWeb"/>
        <w:spacing w:line="480" w:lineRule="auto"/>
        <w:ind w:left="720"/>
        <w:jc w:val="both"/>
        <w:rPr>
          <w:rFonts w:ascii="Arial" w:hAnsi="Arial" w:cs="Arial"/>
          <w:color w:val="000000"/>
        </w:rPr>
      </w:pPr>
      <w:r>
        <w:rPr>
          <w:rFonts w:ascii="Arial" w:hAnsi="Arial" w:cs="Arial"/>
          <w:color w:val="000000"/>
        </w:rPr>
        <w:t>Compuestas por p variables y n individuos cada elemento o celda de la matriz suele denotarse por medio de la expresión x</w:t>
      </w:r>
      <w:r>
        <w:rPr>
          <w:rFonts w:ascii="Arial" w:hAnsi="Arial" w:cs="Arial"/>
          <w:color w:val="000000"/>
          <w:vertAlign w:val="subscript"/>
        </w:rPr>
        <w:t>ij</w:t>
      </w:r>
      <w:r>
        <w:rPr>
          <w:rFonts w:ascii="Arial" w:hAnsi="Arial" w:cs="Arial"/>
          <w:color w:val="000000"/>
        </w:rPr>
        <w:t>, que representa la medida obtenida por el sujeto i en la variable j. Ejemplos de este tipo de matrices son las obtenidas cuando ev</w:t>
      </w:r>
      <w:r>
        <w:rPr>
          <w:rFonts w:ascii="Arial" w:hAnsi="Arial" w:cs="Arial"/>
          <w:color w:val="000000"/>
        </w:rPr>
        <w:t>aluamos el rendimiento de una muestra sobre un conjunto de pruebas psicométricas tradicionales (ej: Tests de Raven, Wisc, Bohen, etc.). Acerca de las tablas de contingencia decimos que en este tipo de matrices son todos aquellos estudios que relacionan var</w:t>
      </w:r>
      <w:r>
        <w:rPr>
          <w:rFonts w:ascii="Arial" w:hAnsi="Arial" w:cs="Arial"/>
          <w:color w:val="000000"/>
        </w:rPr>
        <w:t>iables como son el sexo, la clase social, tipo de estudios o el estado civil.</w:t>
      </w:r>
    </w:p>
    <w:p w:rsidR="00000000" w:rsidRDefault="00BC67ED">
      <w:pPr>
        <w:pStyle w:val="NormalWeb"/>
        <w:spacing w:line="480" w:lineRule="auto"/>
        <w:ind w:left="720"/>
        <w:jc w:val="both"/>
        <w:rPr>
          <w:rFonts w:ascii="Arial" w:hAnsi="Arial" w:cs="Arial"/>
          <w:color w:val="000000"/>
        </w:rPr>
      </w:pPr>
    </w:p>
    <w:p w:rsidR="00000000" w:rsidRDefault="00BC67ED" w:rsidP="00BC67ED">
      <w:pPr>
        <w:numPr>
          <w:ilvl w:val="2"/>
          <w:numId w:val="28"/>
        </w:numPr>
        <w:tabs>
          <w:tab w:val="clear" w:pos="2514"/>
        </w:tabs>
        <w:spacing w:line="360" w:lineRule="auto"/>
        <w:ind w:left="723" w:hanging="720"/>
        <w:jc w:val="both"/>
        <w:rPr>
          <w:rFonts w:ascii="Arial" w:hAnsi="Arial" w:cs="Arial"/>
          <w:b/>
        </w:rPr>
      </w:pPr>
      <w:r>
        <w:rPr>
          <w:rFonts w:ascii="Arial" w:hAnsi="Arial" w:cs="Arial"/>
          <w:b/>
          <w:color w:val="000000"/>
        </w:rPr>
        <w:lastRenderedPageBreak/>
        <w:t>Notación en la tabla de contingencia y construcción de la nube de puntos.</w:t>
      </w:r>
    </w:p>
    <w:p w:rsidR="00000000" w:rsidRDefault="00BC67ED">
      <w:pPr>
        <w:pStyle w:val="NormalWeb"/>
        <w:spacing w:line="480" w:lineRule="auto"/>
        <w:ind w:left="723"/>
        <w:jc w:val="both"/>
        <w:rPr>
          <w:rFonts w:ascii="Arial" w:hAnsi="Arial" w:cs="Arial"/>
          <w:color w:val="000000"/>
        </w:rPr>
      </w:pPr>
      <w:r>
        <w:rPr>
          <w:rFonts w:ascii="Arial" w:hAnsi="Arial" w:cs="Arial"/>
          <w:color w:val="000000"/>
        </w:rPr>
        <w:t>El análisis de correspondencias se efectúa sobre la matriz de probabilidades que podemos determinar a p</w:t>
      </w:r>
      <w:r>
        <w:rPr>
          <w:rFonts w:ascii="Arial" w:hAnsi="Arial" w:cs="Arial"/>
          <w:color w:val="000000"/>
        </w:rPr>
        <w:t>artir de una matriz o tabla de contingencia, pudiendo ser introducido como un análisis de componentes principales o como análisis canónico (</w:t>
      </w:r>
      <w:hyperlink r:id="rId227" w:anchor="r6" w:history="1">
        <w:r>
          <w:rPr>
            <w:rStyle w:val="Hipervnculo"/>
            <w:rFonts w:ascii="Arial" w:hAnsi="Arial" w:cs="Arial"/>
            <w:color w:val="000000"/>
            <w:u w:val="none"/>
          </w:rPr>
          <w:t>Foucart, 1984</w:t>
        </w:r>
      </w:hyperlink>
      <w:r>
        <w:rPr>
          <w:rFonts w:ascii="Arial" w:hAnsi="Arial" w:cs="Arial"/>
          <w:color w:val="000000"/>
        </w:rPr>
        <w:t xml:space="preserve"> y </w:t>
      </w:r>
      <w:hyperlink r:id="rId228" w:anchor="r7" w:history="1">
        <w:r>
          <w:rPr>
            <w:rStyle w:val="Hipervnculo"/>
            <w:rFonts w:ascii="Arial" w:hAnsi="Arial" w:cs="Arial"/>
            <w:color w:val="000000"/>
            <w:u w:val="none"/>
          </w:rPr>
          <w:t>1985</w:t>
        </w:r>
      </w:hyperlink>
      <w:r>
        <w:rPr>
          <w:rFonts w:ascii="Arial" w:hAnsi="Arial" w:cs="Arial"/>
          <w:color w:val="000000"/>
        </w:rPr>
        <w:t>). La matriz de datos de partida es una tabla de frecuencias:</w:t>
      </w:r>
    </w:p>
    <w:tbl>
      <w:tblPr>
        <w:tblW w:w="2550" w:type="pct"/>
        <w:tblCellSpacing w:w="15" w:type="dxa"/>
        <w:tblInd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797"/>
        <w:gridCol w:w="260"/>
        <w:gridCol w:w="420"/>
        <w:gridCol w:w="420"/>
        <w:gridCol w:w="420"/>
        <w:gridCol w:w="320"/>
        <w:gridCol w:w="438"/>
        <w:gridCol w:w="320"/>
        <w:gridCol w:w="474"/>
        <w:gridCol w:w="409"/>
      </w:tblGrid>
      <w:tr w:rsidR="00000000">
        <w:trPr>
          <w:tblCellSpacing w:w="15" w:type="dxa"/>
        </w:trPr>
        <w:tc>
          <w:tcPr>
            <w:tcW w:w="0" w:type="auto"/>
            <w:gridSpan w:val="2"/>
          </w:tcPr>
          <w:p w:rsidR="00000000" w:rsidRDefault="00BC67ED">
            <w:pPr>
              <w:jc w:val="center"/>
            </w:pPr>
            <w:r>
              <w:t xml:space="preserve">  </w:t>
            </w:r>
          </w:p>
        </w:tc>
        <w:tc>
          <w:tcPr>
            <w:tcW w:w="0" w:type="auto"/>
          </w:tcPr>
          <w:p w:rsidR="00000000" w:rsidRDefault="00BC67ED">
            <w:pPr>
              <w:jc w:val="center"/>
            </w:pPr>
            <w:r>
              <w:rPr>
                <w:b/>
                <w:bCs/>
              </w:rPr>
              <w:t>1</w:t>
            </w:r>
          </w:p>
        </w:tc>
        <w:tc>
          <w:tcPr>
            <w:tcW w:w="0" w:type="auto"/>
          </w:tcPr>
          <w:p w:rsidR="00000000" w:rsidRDefault="00BC67ED">
            <w:pPr>
              <w:jc w:val="center"/>
            </w:pPr>
            <w:r>
              <w:rPr>
                <w:b/>
                <w:bCs/>
              </w:rPr>
              <w:t>2</w:t>
            </w:r>
          </w:p>
        </w:tc>
        <w:tc>
          <w:tcPr>
            <w:tcW w:w="0" w:type="auto"/>
          </w:tcPr>
          <w:p w:rsidR="00000000" w:rsidRDefault="00BC67ED">
            <w:pPr>
              <w:jc w:val="center"/>
            </w:pPr>
            <w:r>
              <w:rPr>
                <w:b/>
                <w:bCs/>
              </w:rPr>
              <w:t>3</w:t>
            </w:r>
          </w:p>
        </w:tc>
        <w:tc>
          <w:tcPr>
            <w:tcW w:w="0" w:type="auto"/>
          </w:tcPr>
          <w:p w:rsidR="00000000" w:rsidRDefault="00BC67ED">
            <w:pPr>
              <w:jc w:val="center"/>
            </w:pPr>
            <w:r>
              <w:rPr>
                <w:b/>
                <w:bCs/>
              </w:rPr>
              <w:t>...</w:t>
            </w:r>
          </w:p>
        </w:tc>
        <w:tc>
          <w:tcPr>
            <w:tcW w:w="0" w:type="auto"/>
          </w:tcPr>
          <w:p w:rsidR="00000000" w:rsidRDefault="00BC67ED">
            <w:pPr>
              <w:jc w:val="center"/>
            </w:pPr>
            <w:r>
              <w:rPr>
                <w:b/>
                <w:bCs/>
              </w:rPr>
              <w:t>j</w:t>
            </w:r>
          </w:p>
        </w:tc>
        <w:tc>
          <w:tcPr>
            <w:tcW w:w="0" w:type="auto"/>
          </w:tcPr>
          <w:p w:rsidR="00000000" w:rsidRDefault="00BC67ED">
            <w:pPr>
              <w:jc w:val="center"/>
            </w:pPr>
            <w:r>
              <w:rPr>
                <w:b/>
                <w:bCs/>
              </w:rPr>
              <w:t>...</w:t>
            </w:r>
          </w:p>
        </w:tc>
        <w:tc>
          <w:tcPr>
            <w:tcW w:w="0" w:type="auto"/>
          </w:tcPr>
          <w:p w:rsidR="00000000" w:rsidRDefault="00BC67ED">
            <w:pPr>
              <w:jc w:val="center"/>
            </w:pPr>
            <w:r>
              <w:rPr>
                <w:b/>
                <w:bCs/>
              </w:rPr>
              <w:t>p</w:t>
            </w:r>
          </w:p>
        </w:tc>
        <w:tc>
          <w:tcPr>
            <w:tcW w:w="0" w:type="auto"/>
          </w:tcPr>
          <w:p w:rsidR="00000000" w:rsidRDefault="00BC67ED">
            <w:pPr>
              <w:jc w:val="center"/>
            </w:pPr>
          </w:p>
        </w:tc>
      </w:tr>
      <w:tr w:rsidR="00000000">
        <w:trPr>
          <w:tblCellSpacing w:w="15" w:type="dxa"/>
        </w:trPr>
        <w:tc>
          <w:tcPr>
            <w:tcW w:w="0" w:type="auto"/>
          </w:tcPr>
          <w:p w:rsidR="00000000" w:rsidRDefault="00BC67ED">
            <w:pPr>
              <w:jc w:val="center"/>
            </w:pPr>
          </w:p>
        </w:tc>
        <w:tc>
          <w:tcPr>
            <w:tcW w:w="0" w:type="auto"/>
          </w:tcPr>
          <w:p w:rsidR="00000000" w:rsidRDefault="00BC67ED">
            <w:pPr>
              <w:jc w:val="center"/>
            </w:pPr>
            <w:r>
              <w:rPr>
                <w:b/>
                <w:bCs/>
              </w:rPr>
              <w:t>1</w:t>
            </w:r>
            <w:r>
              <w:t xml:space="preserve">  </w:t>
            </w:r>
          </w:p>
          <w:p w:rsidR="00000000" w:rsidRDefault="00BC67ED">
            <w:pPr>
              <w:pStyle w:val="NormalWeb"/>
              <w:jc w:val="center"/>
            </w:pPr>
            <w:r>
              <w:rPr>
                <w:b/>
                <w:bCs/>
              </w:rPr>
              <w:t>2</w:t>
            </w:r>
            <w:r>
              <w:t xml:space="preserve">  </w:t>
            </w:r>
          </w:p>
          <w:p w:rsidR="00000000" w:rsidRDefault="00BC67ED">
            <w:pPr>
              <w:pStyle w:val="NormalWeb"/>
              <w:jc w:val="center"/>
            </w:pPr>
            <w:r>
              <w:rPr>
                <w:b/>
                <w:bCs/>
              </w:rPr>
              <w:t>3</w:t>
            </w:r>
          </w:p>
        </w:tc>
        <w:tc>
          <w:tcPr>
            <w:tcW w:w="0" w:type="auto"/>
          </w:tcPr>
          <w:p w:rsidR="00000000" w:rsidRDefault="00BC67ED">
            <w:pPr>
              <w:jc w:val="center"/>
            </w:pPr>
            <w:r>
              <w:t>k</w:t>
            </w:r>
            <w:r>
              <w:rPr>
                <w:vertAlign w:val="subscript"/>
              </w:rPr>
              <w:t>11</w:t>
            </w:r>
            <w:r>
              <w:t xml:space="preserve">  </w:t>
            </w:r>
          </w:p>
          <w:p w:rsidR="00000000" w:rsidRDefault="00BC67ED">
            <w:pPr>
              <w:pStyle w:val="NormalWeb"/>
              <w:jc w:val="center"/>
            </w:pPr>
            <w:r>
              <w:t>k</w:t>
            </w:r>
            <w:r>
              <w:rPr>
                <w:vertAlign w:val="subscript"/>
              </w:rPr>
              <w:t>21</w:t>
            </w:r>
            <w:r>
              <w:t xml:space="preserve">  </w:t>
            </w:r>
          </w:p>
          <w:p w:rsidR="00000000" w:rsidRDefault="00BC67ED">
            <w:pPr>
              <w:pStyle w:val="NormalWeb"/>
              <w:jc w:val="center"/>
            </w:pPr>
            <w:r>
              <w:t>k</w:t>
            </w:r>
            <w:r>
              <w:rPr>
                <w:vertAlign w:val="subscript"/>
              </w:rPr>
              <w:t>31</w:t>
            </w:r>
          </w:p>
        </w:tc>
        <w:tc>
          <w:tcPr>
            <w:tcW w:w="0" w:type="auto"/>
          </w:tcPr>
          <w:p w:rsidR="00000000" w:rsidRDefault="00BC67ED">
            <w:pPr>
              <w:jc w:val="center"/>
            </w:pPr>
            <w:r>
              <w:t>k</w:t>
            </w:r>
            <w:r>
              <w:rPr>
                <w:vertAlign w:val="subscript"/>
              </w:rPr>
              <w:t>12</w:t>
            </w:r>
            <w:r>
              <w:t xml:space="preserve">  </w:t>
            </w:r>
          </w:p>
          <w:p w:rsidR="00000000" w:rsidRDefault="00BC67ED">
            <w:pPr>
              <w:pStyle w:val="NormalWeb"/>
              <w:jc w:val="center"/>
            </w:pPr>
            <w:r>
              <w:t>k</w:t>
            </w:r>
            <w:r>
              <w:rPr>
                <w:vertAlign w:val="subscript"/>
              </w:rPr>
              <w:t>22</w:t>
            </w:r>
            <w:r>
              <w:t xml:space="preserve">  </w:t>
            </w:r>
          </w:p>
          <w:p w:rsidR="00000000" w:rsidRDefault="00BC67ED">
            <w:pPr>
              <w:pStyle w:val="NormalWeb"/>
              <w:jc w:val="center"/>
            </w:pPr>
            <w:r>
              <w:t>k</w:t>
            </w:r>
            <w:r>
              <w:rPr>
                <w:vertAlign w:val="subscript"/>
              </w:rPr>
              <w:t>32</w:t>
            </w:r>
          </w:p>
        </w:tc>
        <w:tc>
          <w:tcPr>
            <w:tcW w:w="0" w:type="auto"/>
          </w:tcPr>
          <w:p w:rsidR="00000000" w:rsidRDefault="00BC67ED">
            <w:pPr>
              <w:jc w:val="center"/>
            </w:pPr>
            <w:r>
              <w:t>k</w:t>
            </w:r>
            <w:r>
              <w:rPr>
                <w:vertAlign w:val="subscript"/>
              </w:rPr>
              <w:t>13</w:t>
            </w:r>
            <w:r>
              <w:t xml:space="preserve">  </w:t>
            </w:r>
          </w:p>
          <w:p w:rsidR="00000000" w:rsidRDefault="00BC67ED">
            <w:pPr>
              <w:pStyle w:val="NormalWeb"/>
              <w:jc w:val="center"/>
            </w:pPr>
            <w:r>
              <w:t>k</w:t>
            </w:r>
            <w:r>
              <w:rPr>
                <w:vertAlign w:val="subscript"/>
              </w:rPr>
              <w:t>23</w:t>
            </w:r>
            <w:r>
              <w:t xml:space="preserve">  </w:t>
            </w:r>
          </w:p>
          <w:p w:rsidR="00000000" w:rsidRDefault="00BC67ED">
            <w:pPr>
              <w:pStyle w:val="NormalWeb"/>
              <w:jc w:val="center"/>
            </w:pPr>
            <w:r>
              <w:t>k</w:t>
            </w:r>
            <w:r>
              <w:rPr>
                <w:vertAlign w:val="subscript"/>
              </w:rPr>
              <w:t>33</w:t>
            </w:r>
          </w:p>
        </w:tc>
        <w:tc>
          <w:tcPr>
            <w:tcW w:w="0" w:type="auto"/>
          </w:tcPr>
          <w:p w:rsidR="00000000" w:rsidRDefault="00BC67ED">
            <w:pPr>
              <w:jc w:val="center"/>
            </w:pPr>
            <w:r>
              <w:t xml:space="preserve">...  </w:t>
            </w:r>
          </w:p>
          <w:p w:rsidR="00000000" w:rsidRDefault="00BC67ED">
            <w:pPr>
              <w:pStyle w:val="NormalWeb"/>
              <w:jc w:val="center"/>
            </w:pPr>
            <w:r>
              <w:t xml:space="preserve">...  </w:t>
            </w:r>
          </w:p>
          <w:p w:rsidR="00000000" w:rsidRDefault="00BC67ED">
            <w:pPr>
              <w:pStyle w:val="NormalWeb"/>
              <w:jc w:val="center"/>
            </w:pPr>
            <w:r>
              <w:t>...</w:t>
            </w:r>
          </w:p>
        </w:tc>
        <w:tc>
          <w:tcPr>
            <w:tcW w:w="0" w:type="auto"/>
          </w:tcPr>
          <w:p w:rsidR="00000000" w:rsidRDefault="00BC67ED">
            <w:pPr>
              <w:jc w:val="center"/>
            </w:pPr>
            <w:r>
              <w:t>K</w:t>
            </w:r>
            <w:r>
              <w:rPr>
                <w:vertAlign w:val="subscript"/>
              </w:rPr>
              <w:t>1j</w:t>
            </w:r>
            <w:r>
              <w:t xml:space="preserve">  </w:t>
            </w:r>
          </w:p>
          <w:p w:rsidR="00000000" w:rsidRDefault="00BC67ED">
            <w:pPr>
              <w:pStyle w:val="NormalWeb"/>
              <w:jc w:val="center"/>
            </w:pPr>
            <w:r>
              <w:t>K</w:t>
            </w:r>
            <w:r>
              <w:rPr>
                <w:vertAlign w:val="subscript"/>
              </w:rPr>
              <w:t>2j</w:t>
            </w:r>
            <w:r>
              <w:t xml:space="preserve">  </w:t>
            </w:r>
          </w:p>
          <w:p w:rsidR="00000000" w:rsidRDefault="00BC67ED">
            <w:pPr>
              <w:pStyle w:val="NormalWeb"/>
              <w:jc w:val="center"/>
            </w:pPr>
            <w:r>
              <w:t>K</w:t>
            </w:r>
            <w:r>
              <w:rPr>
                <w:vertAlign w:val="subscript"/>
              </w:rPr>
              <w:t>3j</w:t>
            </w:r>
          </w:p>
        </w:tc>
        <w:tc>
          <w:tcPr>
            <w:tcW w:w="0" w:type="auto"/>
          </w:tcPr>
          <w:p w:rsidR="00000000" w:rsidRDefault="00BC67ED">
            <w:pPr>
              <w:jc w:val="center"/>
            </w:pPr>
            <w:r>
              <w:t xml:space="preserve">...  </w:t>
            </w:r>
          </w:p>
          <w:p w:rsidR="00000000" w:rsidRDefault="00BC67ED">
            <w:pPr>
              <w:pStyle w:val="NormalWeb"/>
              <w:jc w:val="center"/>
            </w:pPr>
            <w:r>
              <w:t xml:space="preserve">...  </w:t>
            </w:r>
          </w:p>
          <w:p w:rsidR="00000000" w:rsidRDefault="00BC67ED">
            <w:pPr>
              <w:pStyle w:val="NormalWeb"/>
              <w:jc w:val="center"/>
            </w:pPr>
            <w:r>
              <w:t>...</w:t>
            </w:r>
          </w:p>
        </w:tc>
        <w:tc>
          <w:tcPr>
            <w:tcW w:w="0" w:type="auto"/>
          </w:tcPr>
          <w:p w:rsidR="00000000" w:rsidRDefault="00BC67ED">
            <w:pPr>
              <w:jc w:val="center"/>
            </w:pPr>
            <w:r>
              <w:t>K</w:t>
            </w:r>
            <w:r>
              <w:rPr>
                <w:vertAlign w:val="subscript"/>
              </w:rPr>
              <w:t>1p</w:t>
            </w:r>
            <w:r>
              <w:t xml:space="preserve">  </w:t>
            </w:r>
          </w:p>
          <w:p w:rsidR="00000000" w:rsidRDefault="00BC67ED">
            <w:pPr>
              <w:pStyle w:val="NormalWeb"/>
              <w:jc w:val="center"/>
            </w:pPr>
            <w:r>
              <w:t>K</w:t>
            </w:r>
            <w:r>
              <w:rPr>
                <w:vertAlign w:val="subscript"/>
              </w:rPr>
              <w:t>2p</w:t>
            </w:r>
            <w:r>
              <w:t xml:space="preserve">  </w:t>
            </w:r>
          </w:p>
          <w:p w:rsidR="00000000" w:rsidRDefault="00BC67ED">
            <w:pPr>
              <w:pStyle w:val="NormalWeb"/>
              <w:jc w:val="center"/>
            </w:pPr>
            <w:r>
              <w:t>K</w:t>
            </w:r>
            <w:r>
              <w:rPr>
                <w:vertAlign w:val="subscript"/>
              </w:rPr>
              <w:t>3p</w:t>
            </w:r>
          </w:p>
        </w:tc>
        <w:tc>
          <w:tcPr>
            <w:tcW w:w="0" w:type="auto"/>
          </w:tcPr>
          <w:p w:rsidR="00000000" w:rsidRDefault="00BC67ED">
            <w:pPr>
              <w:jc w:val="center"/>
            </w:pPr>
            <w:r>
              <w:rPr>
                <w:b/>
                <w:bCs/>
              </w:rPr>
              <w:t>k</w:t>
            </w:r>
            <w:r>
              <w:rPr>
                <w:b/>
                <w:bCs/>
                <w:vertAlign w:val="subscript"/>
              </w:rPr>
              <w:t>1.</w:t>
            </w:r>
            <w:r>
              <w:t xml:space="preserve">  </w:t>
            </w:r>
          </w:p>
          <w:p w:rsidR="00000000" w:rsidRDefault="00BC67ED">
            <w:pPr>
              <w:pStyle w:val="NormalWeb"/>
              <w:jc w:val="center"/>
            </w:pPr>
            <w:r>
              <w:rPr>
                <w:b/>
                <w:bCs/>
              </w:rPr>
              <w:t>k</w:t>
            </w:r>
            <w:r>
              <w:rPr>
                <w:b/>
                <w:bCs/>
                <w:vertAlign w:val="subscript"/>
              </w:rPr>
              <w:t>2.</w:t>
            </w:r>
            <w:r>
              <w:t xml:space="preserve">  </w:t>
            </w:r>
          </w:p>
          <w:p w:rsidR="00000000" w:rsidRDefault="00BC67ED">
            <w:pPr>
              <w:pStyle w:val="NormalWeb"/>
              <w:jc w:val="center"/>
            </w:pPr>
            <w:r>
              <w:rPr>
                <w:b/>
                <w:bCs/>
              </w:rPr>
              <w:t>k</w:t>
            </w:r>
            <w:r>
              <w:rPr>
                <w:b/>
                <w:bCs/>
                <w:vertAlign w:val="subscript"/>
              </w:rPr>
              <w:t>3.</w:t>
            </w:r>
          </w:p>
        </w:tc>
      </w:tr>
      <w:tr w:rsidR="00000000">
        <w:trPr>
          <w:trHeight w:val="836"/>
          <w:tblCellSpacing w:w="15" w:type="dxa"/>
        </w:trPr>
        <w:tc>
          <w:tcPr>
            <w:tcW w:w="0" w:type="auto"/>
          </w:tcPr>
          <w:p w:rsidR="00000000" w:rsidRDefault="00BC67ED">
            <w:pPr>
              <w:jc w:val="center"/>
            </w:pPr>
            <w:r>
              <w:rPr>
                <w:b/>
                <w:bCs/>
              </w:rPr>
              <w:t>K</w:t>
            </w:r>
            <w:r>
              <w:rPr>
                <w:b/>
                <w:bCs/>
                <w:vertAlign w:val="subscript"/>
              </w:rPr>
              <w:t>(nxp)</w:t>
            </w:r>
            <w:r>
              <w:rPr>
                <w:b/>
                <w:bCs/>
              </w:rPr>
              <w:t xml:space="preserve"> </w:t>
            </w:r>
            <w:r>
              <w:t>=</w:t>
            </w:r>
          </w:p>
        </w:tc>
        <w:tc>
          <w:tcPr>
            <w:tcW w:w="0" w:type="auto"/>
          </w:tcPr>
          <w:p w:rsidR="00000000" w:rsidRDefault="00BC67ED">
            <w:pPr>
              <w:jc w:val="center"/>
            </w:pPr>
            <w:r>
              <w:rPr>
                <w:b/>
                <w:bCs/>
              </w:rPr>
              <w:t>.</w:t>
            </w:r>
            <w:r>
              <w:t xml:space="preserve">  </w:t>
            </w:r>
          </w:p>
          <w:p w:rsidR="00000000" w:rsidRDefault="00BC67ED">
            <w:pPr>
              <w:pStyle w:val="NormalWeb"/>
              <w:jc w:val="center"/>
            </w:pPr>
            <w:r>
              <w:rPr>
                <w:b/>
                <w:bCs/>
              </w:rPr>
              <w:t>.</w:t>
            </w:r>
            <w:r>
              <w:t xml:space="preserve">  </w:t>
            </w:r>
          </w:p>
          <w:p w:rsidR="00000000" w:rsidRDefault="00BC67ED">
            <w:pPr>
              <w:pStyle w:val="NormalWeb"/>
              <w:jc w:val="center"/>
            </w:pPr>
            <w:r>
              <w:rPr>
                <w:b/>
                <w:bCs/>
              </w:rP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c>
          <w:tcPr>
            <w:tcW w:w="0" w:type="auto"/>
          </w:tcPr>
          <w:p w:rsidR="00000000" w:rsidRDefault="00BC67ED">
            <w:pPr>
              <w:jc w:val="center"/>
            </w:pPr>
            <w:r>
              <w:t>...</w:t>
            </w:r>
          </w:p>
        </w:tc>
      </w:tr>
      <w:tr w:rsidR="00000000">
        <w:trPr>
          <w:trHeight w:val="2144"/>
          <w:tblCellSpacing w:w="15" w:type="dxa"/>
        </w:trPr>
        <w:tc>
          <w:tcPr>
            <w:tcW w:w="0" w:type="auto"/>
          </w:tcPr>
          <w:p w:rsidR="00000000" w:rsidRDefault="00BC67ED">
            <w:pPr>
              <w:jc w:val="center"/>
            </w:pPr>
          </w:p>
        </w:tc>
        <w:tc>
          <w:tcPr>
            <w:tcW w:w="0" w:type="auto"/>
          </w:tcPr>
          <w:p w:rsidR="00000000" w:rsidRDefault="00BC67ED">
            <w:pPr>
              <w:jc w:val="center"/>
            </w:pPr>
            <w:r>
              <w:rPr>
                <w:b/>
                <w:bCs/>
              </w:rPr>
              <w:t>i</w:t>
            </w:r>
            <w:r>
              <w:t xml:space="preserve">  </w:t>
            </w:r>
          </w:p>
          <w:p w:rsidR="00000000" w:rsidRDefault="00BC67ED">
            <w:pPr>
              <w:pStyle w:val="NormalWeb"/>
              <w:jc w:val="center"/>
            </w:pPr>
            <w:r>
              <w:rPr>
                <w:b/>
                <w:bCs/>
              </w:rPr>
              <w:t>.</w:t>
            </w:r>
            <w:r>
              <w:t xml:space="preserve">  </w:t>
            </w:r>
          </w:p>
          <w:p w:rsidR="00000000" w:rsidRDefault="00BC67ED">
            <w:pPr>
              <w:pStyle w:val="NormalWeb"/>
              <w:jc w:val="center"/>
            </w:pPr>
            <w:r>
              <w:rPr>
                <w:b/>
                <w:bCs/>
              </w:rPr>
              <w:t>.</w:t>
            </w:r>
            <w:r>
              <w:t xml:space="preserve">  </w:t>
            </w:r>
          </w:p>
          <w:p w:rsidR="00000000" w:rsidRDefault="00BC67ED">
            <w:pPr>
              <w:pStyle w:val="NormalWeb"/>
              <w:jc w:val="center"/>
            </w:pPr>
            <w:r>
              <w:rPr>
                <w:b/>
                <w:bCs/>
              </w:rPr>
              <w:t>.</w:t>
            </w:r>
            <w:r>
              <w:t xml:space="preserve">  </w:t>
            </w:r>
          </w:p>
          <w:p w:rsidR="00000000" w:rsidRDefault="00BC67ED">
            <w:pPr>
              <w:pStyle w:val="NormalWeb"/>
              <w:jc w:val="center"/>
            </w:pPr>
            <w:r>
              <w:rPr>
                <w:b/>
                <w:bCs/>
              </w:rPr>
              <w:t>n</w:t>
            </w:r>
          </w:p>
        </w:tc>
        <w:tc>
          <w:tcPr>
            <w:tcW w:w="0" w:type="auto"/>
          </w:tcPr>
          <w:p w:rsidR="00000000" w:rsidRDefault="00BC67ED">
            <w:pPr>
              <w:jc w:val="center"/>
            </w:pPr>
            <w:r>
              <w:t>k</w:t>
            </w:r>
            <w:r>
              <w:rPr>
                <w:vertAlign w:val="subscript"/>
              </w:rPr>
              <w:t>i1</w:t>
            </w: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k</w:t>
            </w:r>
            <w:r>
              <w:rPr>
                <w:vertAlign w:val="subscript"/>
              </w:rPr>
              <w:t>n1</w:t>
            </w:r>
          </w:p>
        </w:tc>
        <w:tc>
          <w:tcPr>
            <w:tcW w:w="0" w:type="auto"/>
          </w:tcPr>
          <w:p w:rsidR="00000000" w:rsidRDefault="00BC67ED">
            <w:pPr>
              <w:jc w:val="center"/>
            </w:pPr>
            <w:r>
              <w:t>k</w:t>
            </w:r>
            <w:r>
              <w:rPr>
                <w:vertAlign w:val="subscript"/>
              </w:rPr>
              <w:t>i2</w:t>
            </w: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k</w:t>
            </w:r>
            <w:r>
              <w:rPr>
                <w:vertAlign w:val="subscript"/>
              </w:rPr>
              <w:t>n2</w:t>
            </w:r>
          </w:p>
        </w:tc>
        <w:tc>
          <w:tcPr>
            <w:tcW w:w="0" w:type="auto"/>
          </w:tcPr>
          <w:p w:rsidR="00000000" w:rsidRDefault="00BC67ED">
            <w:pPr>
              <w:jc w:val="center"/>
            </w:pPr>
            <w:r>
              <w:t>k</w:t>
            </w:r>
            <w:r>
              <w:rPr>
                <w:vertAlign w:val="subscript"/>
              </w:rPr>
              <w:t>i3</w:t>
            </w: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k</w:t>
            </w:r>
            <w:r>
              <w:rPr>
                <w:vertAlign w:val="subscript"/>
              </w:rPr>
              <w:t>n3</w:t>
            </w:r>
          </w:p>
        </w:tc>
        <w:tc>
          <w:tcPr>
            <w:tcW w:w="0" w:type="auto"/>
          </w:tcPr>
          <w:p w:rsidR="00000000" w:rsidRDefault="00BC67ED">
            <w:pPr>
              <w:jc w:val="center"/>
            </w:pP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w:t>
            </w:r>
          </w:p>
        </w:tc>
        <w:tc>
          <w:tcPr>
            <w:tcW w:w="0" w:type="auto"/>
          </w:tcPr>
          <w:p w:rsidR="00000000" w:rsidRDefault="00BC67ED">
            <w:pPr>
              <w:jc w:val="center"/>
            </w:pPr>
            <w:r>
              <w:t>K</w:t>
            </w:r>
            <w:r>
              <w:rPr>
                <w:vertAlign w:val="subscript"/>
              </w:rPr>
              <w:t>ij</w:t>
            </w: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K</w:t>
            </w:r>
            <w:r>
              <w:rPr>
                <w:vertAlign w:val="subscript"/>
              </w:rPr>
              <w:t>nj</w:t>
            </w:r>
          </w:p>
        </w:tc>
        <w:tc>
          <w:tcPr>
            <w:tcW w:w="0" w:type="auto"/>
          </w:tcPr>
          <w:p w:rsidR="00000000" w:rsidRDefault="00BC67ED">
            <w:pPr>
              <w:jc w:val="center"/>
            </w:pP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w:t>
            </w:r>
          </w:p>
        </w:tc>
        <w:tc>
          <w:tcPr>
            <w:tcW w:w="0" w:type="auto"/>
          </w:tcPr>
          <w:p w:rsidR="00000000" w:rsidRDefault="00BC67ED">
            <w:pPr>
              <w:jc w:val="center"/>
            </w:pPr>
            <w:r>
              <w:t>K</w:t>
            </w:r>
            <w:r>
              <w:rPr>
                <w:vertAlign w:val="subscript"/>
              </w:rPr>
              <w:t>ip</w:t>
            </w:r>
            <w:r>
              <w:t xml:space="preserve">  </w:t>
            </w:r>
            <w:r>
              <w:br/>
              <w:t xml:space="preserve">  </w:t>
            </w:r>
            <w:r>
              <w:br/>
              <w:t xml:space="preserve">  </w:t>
            </w:r>
            <w:r>
              <w:br/>
              <w:t xml:space="preserve">  </w:t>
            </w:r>
          </w:p>
          <w:p w:rsidR="00000000" w:rsidRDefault="00BC67ED">
            <w:pPr>
              <w:pStyle w:val="NormalWeb"/>
              <w:jc w:val="center"/>
            </w:pPr>
            <w:r>
              <w:t xml:space="preserve">...  </w:t>
            </w:r>
            <w:r>
              <w:br/>
              <w:t xml:space="preserve">  </w:t>
            </w:r>
          </w:p>
          <w:p w:rsidR="00000000" w:rsidRDefault="00BC67ED">
            <w:pPr>
              <w:pStyle w:val="NormalWeb"/>
              <w:jc w:val="center"/>
            </w:pPr>
            <w:r>
              <w:t>K</w:t>
            </w:r>
            <w:r>
              <w:rPr>
                <w:vertAlign w:val="subscript"/>
              </w:rPr>
              <w:t>np</w:t>
            </w:r>
          </w:p>
        </w:tc>
        <w:tc>
          <w:tcPr>
            <w:tcW w:w="0" w:type="auto"/>
          </w:tcPr>
          <w:p w:rsidR="00000000" w:rsidRDefault="00BC67ED">
            <w:pPr>
              <w:jc w:val="center"/>
            </w:pPr>
            <w:r>
              <w:rPr>
                <w:b/>
                <w:bCs/>
              </w:rPr>
              <w:t>k</w:t>
            </w:r>
            <w:r>
              <w:rPr>
                <w:b/>
                <w:bCs/>
                <w:vertAlign w:val="subscript"/>
              </w:rPr>
              <w:t>i.</w:t>
            </w:r>
            <w:r>
              <w:t xml:space="preserve">  </w:t>
            </w:r>
            <w:r>
              <w:br/>
              <w:t xml:space="preserve">  </w:t>
            </w:r>
            <w:r>
              <w:br/>
              <w:t xml:space="preserve">  </w:t>
            </w:r>
            <w:r>
              <w:br/>
              <w:t xml:space="preserve">  </w:t>
            </w:r>
          </w:p>
          <w:p w:rsidR="00000000" w:rsidRDefault="00BC67ED">
            <w:pPr>
              <w:pStyle w:val="NormalWeb"/>
              <w:jc w:val="center"/>
            </w:pPr>
            <w:r>
              <w:rPr>
                <w:b/>
                <w:bCs/>
              </w:rPr>
              <w:t>...</w:t>
            </w:r>
            <w:r>
              <w:t xml:space="preserve">  </w:t>
            </w:r>
            <w:r>
              <w:br/>
              <w:t xml:space="preserve">  </w:t>
            </w:r>
          </w:p>
          <w:p w:rsidR="00000000" w:rsidRDefault="00BC67ED">
            <w:pPr>
              <w:pStyle w:val="NormalWeb"/>
              <w:jc w:val="center"/>
            </w:pPr>
            <w:r>
              <w:rPr>
                <w:b/>
                <w:bCs/>
              </w:rPr>
              <w:t>k</w:t>
            </w:r>
            <w:r>
              <w:rPr>
                <w:b/>
                <w:bCs/>
                <w:vertAlign w:val="subscript"/>
              </w:rPr>
              <w:t>n.</w:t>
            </w:r>
          </w:p>
        </w:tc>
      </w:tr>
      <w:tr w:rsidR="00000000">
        <w:trPr>
          <w:tblCellSpacing w:w="15" w:type="dxa"/>
        </w:trPr>
        <w:tc>
          <w:tcPr>
            <w:tcW w:w="0" w:type="auto"/>
            <w:gridSpan w:val="2"/>
          </w:tcPr>
          <w:p w:rsidR="00000000" w:rsidRDefault="00BC67ED">
            <w:pPr>
              <w:jc w:val="center"/>
            </w:pPr>
          </w:p>
        </w:tc>
        <w:tc>
          <w:tcPr>
            <w:tcW w:w="0" w:type="auto"/>
          </w:tcPr>
          <w:p w:rsidR="00000000" w:rsidRDefault="00BC67ED">
            <w:pPr>
              <w:jc w:val="center"/>
            </w:pPr>
            <w:r>
              <w:rPr>
                <w:b/>
                <w:bCs/>
              </w:rPr>
              <w:t>k</w:t>
            </w:r>
            <w:r>
              <w:rPr>
                <w:b/>
                <w:bCs/>
                <w:vertAlign w:val="subscript"/>
              </w:rPr>
              <w:t>.1</w:t>
            </w:r>
          </w:p>
        </w:tc>
        <w:tc>
          <w:tcPr>
            <w:tcW w:w="0" w:type="auto"/>
          </w:tcPr>
          <w:p w:rsidR="00000000" w:rsidRDefault="00BC67ED">
            <w:pPr>
              <w:jc w:val="center"/>
            </w:pPr>
            <w:r>
              <w:rPr>
                <w:b/>
                <w:bCs/>
              </w:rPr>
              <w:t>k</w:t>
            </w:r>
            <w:r>
              <w:rPr>
                <w:b/>
                <w:bCs/>
                <w:vertAlign w:val="subscript"/>
              </w:rPr>
              <w:t>.2</w:t>
            </w:r>
          </w:p>
        </w:tc>
        <w:tc>
          <w:tcPr>
            <w:tcW w:w="0" w:type="auto"/>
          </w:tcPr>
          <w:p w:rsidR="00000000" w:rsidRDefault="00BC67ED">
            <w:pPr>
              <w:jc w:val="center"/>
            </w:pPr>
            <w:r>
              <w:rPr>
                <w:b/>
                <w:bCs/>
              </w:rPr>
              <w:t>k</w:t>
            </w:r>
            <w:r>
              <w:rPr>
                <w:b/>
                <w:bCs/>
                <w:vertAlign w:val="subscript"/>
              </w:rPr>
              <w:t>.3</w:t>
            </w:r>
          </w:p>
        </w:tc>
        <w:tc>
          <w:tcPr>
            <w:tcW w:w="0" w:type="auto"/>
          </w:tcPr>
          <w:p w:rsidR="00000000" w:rsidRDefault="00BC67ED">
            <w:pPr>
              <w:jc w:val="center"/>
            </w:pPr>
            <w:r>
              <w:rPr>
                <w:b/>
                <w:bCs/>
              </w:rPr>
              <w:t>...</w:t>
            </w:r>
          </w:p>
        </w:tc>
        <w:tc>
          <w:tcPr>
            <w:tcW w:w="0" w:type="auto"/>
          </w:tcPr>
          <w:p w:rsidR="00000000" w:rsidRDefault="00BC67ED">
            <w:pPr>
              <w:jc w:val="center"/>
            </w:pPr>
            <w:r>
              <w:rPr>
                <w:b/>
                <w:bCs/>
              </w:rPr>
              <w:t>k</w:t>
            </w:r>
            <w:r>
              <w:rPr>
                <w:b/>
                <w:bCs/>
                <w:vertAlign w:val="subscript"/>
              </w:rPr>
              <w:t>.j</w:t>
            </w:r>
          </w:p>
        </w:tc>
        <w:tc>
          <w:tcPr>
            <w:tcW w:w="0" w:type="auto"/>
          </w:tcPr>
          <w:p w:rsidR="00000000" w:rsidRDefault="00BC67ED">
            <w:pPr>
              <w:jc w:val="center"/>
            </w:pPr>
            <w:r>
              <w:rPr>
                <w:b/>
                <w:bCs/>
              </w:rPr>
              <w:t>...</w:t>
            </w:r>
          </w:p>
        </w:tc>
        <w:tc>
          <w:tcPr>
            <w:tcW w:w="0" w:type="auto"/>
          </w:tcPr>
          <w:p w:rsidR="00000000" w:rsidRDefault="00BC67ED">
            <w:pPr>
              <w:jc w:val="center"/>
            </w:pPr>
            <w:r>
              <w:rPr>
                <w:b/>
                <w:bCs/>
              </w:rPr>
              <w:t>k</w:t>
            </w:r>
            <w:r>
              <w:rPr>
                <w:b/>
                <w:bCs/>
                <w:vertAlign w:val="subscript"/>
              </w:rPr>
              <w:t>.p</w:t>
            </w:r>
          </w:p>
        </w:tc>
        <w:tc>
          <w:tcPr>
            <w:tcW w:w="0" w:type="auto"/>
          </w:tcPr>
          <w:p w:rsidR="00000000" w:rsidRDefault="00BC67ED">
            <w:pPr>
              <w:jc w:val="center"/>
            </w:pPr>
            <w:r>
              <w:rPr>
                <w:b/>
                <w:bCs/>
              </w:rPr>
              <w:t>K</w:t>
            </w:r>
          </w:p>
        </w:tc>
      </w:tr>
    </w:tbl>
    <w:p w:rsidR="00000000" w:rsidRDefault="00BC67ED">
      <w:pPr>
        <w:pStyle w:val="NormalWeb"/>
        <w:jc w:val="center"/>
      </w:pPr>
      <w:r>
        <w:rPr>
          <w:b/>
          <w:bCs/>
        </w:rPr>
        <w:t xml:space="preserve">                   Tabla 3: Notación en la tabla de contingencias.</w:t>
      </w:r>
      <w:r>
        <w:t xml:space="preserve"> </w:t>
      </w:r>
      <w:r>
        <w:br/>
      </w:r>
    </w:p>
    <w:p w:rsidR="00000000" w:rsidRDefault="00BC67ED">
      <w:pPr>
        <w:spacing w:line="480" w:lineRule="auto"/>
        <w:ind w:left="723"/>
        <w:jc w:val="both"/>
        <w:rPr>
          <w:rFonts w:ascii="Arial" w:hAnsi="Arial"/>
        </w:rPr>
      </w:pPr>
      <w:r>
        <w:rPr>
          <w:rFonts w:ascii="Arial" w:hAnsi="Arial"/>
        </w:rPr>
        <w:lastRenderedPageBreak/>
        <w:t>Para aplicar el análisis de correspondencias no se emple</w:t>
      </w:r>
      <w:r>
        <w:rPr>
          <w:rFonts w:ascii="Arial" w:hAnsi="Arial"/>
        </w:rPr>
        <w:t xml:space="preserve">a directamente la tabla de frecuencias sino que se transforma en una matriz de probabilidades, de acuerdo a la siguiente expresión: </w:t>
      </w:r>
    </w:p>
    <w:p w:rsidR="00000000" w:rsidRDefault="00221239">
      <w:pPr>
        <w:pStyle w:val="NormalWeb"/>
        <w:ind w:left="339" w:firstLine="708"/>
        <w:jc w:val="center"/>
      </w:pPr>
      <w:r>
        <w:rPr>
          <w:noProof/>
          <w:lang w:val="es-ES" w:eastAsia="es-ES"/>
        </w:rPr>
        <w:drawing>
          <wp:inline distT="0" distB="0" distL="0" distR="0">
            <wp:extent cx="2823845" cy="673100"/>
            <wp:effectExtent l="19050" t="0" r="0" b="0"/>
            <wp:docPr id="112" name="Imagen 112"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0"/>
                    <pic:cNvPicPr>
                      <a:picLocks noChangeAspect="1" noChangeArrowheads="1"/>
                    </pic:cNvPicPr>
                  </pic:nvPicPr>
                  <pic:blipFill>
                    <a:blip r:embed="rId229"/>
                    <a:srcRect/>
                    <a:stretch>
                      <a:fillRect/>
                    </a:stretch>
                  </pic:blipFill>
                  <pic:spPr bwMode="auto">
                    <a:xfrm>
                      <a:off x="0" y="0"/>
                      <a:ext cx="2823845" cy="673100"/>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 xml:space="preserve">A partir de la información anterior nos encontramos con la posibilidad de definir, sobre </w:t>
      </w:r>
      <w:r>
        <w:rPr>
          <w:rFonts w:ascii="Arial" w:hAnsi="Arial" w:cs="Arial"/>
          <w:b/>
          <w:bCs/>
        </w:rPr>
        <w:t>R</w:t>
      </w:r>
      <w:r>
        <w:rPr>
          <w:rFonts w:ascii="Arial" w:hAnsi="Arial" w:cs="Arial"/>
          <w:vertAlign w:val="superscript"/>
        </w:rPr>
        <w:t>p</w:t>
      </w:r>
      <w:r>
        <w:rPr>
          <w:rFonts w:ascii="Arial" w:hAnsi="Arial" w:cs="Arial"/>
        </w:rPr>
        <w:t xml:space="preserve">, las características de cada punto fila en la nube de puntos, situación esta que viene dada por los siguientes elementos: </w:t>
      </w:r>
    </w:p>
    <w:p w:rsidR="00000000" w:rsidRDefault="00BC67ED">
      <w:pPr>
        <w:spacing w:line="480" w:lineRule="auto"/>
        <w:ind w:left="723"/>
        <w:jc w:val="both"/>
        <w:rPr>
          <w:rFonts w:ascii="Arial" w:hAnsi="Arial" w:cs="Arial"/>
        </w:rPr>
      </w:pPr>
      <w:r>
        <w:rPr>
          <w:rFonts w:ascii="Arial" w:hAnsi="Arial" w:cs="Arial"/>
          <w:b/>
        </w:rPr>
        <w:t>p</w:t>
      </w:r>
      <w:r>
        <w:rPr>
          <w:rFonts w:ascii="Arial" w:hAnsi="Arial" w:cs="Arial"/>
          <w:b/>
        </w:rPr>
        <w:t>erfil =</w:t>
      </w:r>
      <w:r>
        <w:rPr>
          <w:rFonts w:ascii="Arial" w:hAnsi="Arial" w:cs="Arial"/>
        </w:rPr>
        <w:t xml:space="preserve"> (f</w:t>
      </w:r>
      <w:r>
        <w:rPr>
          <w:rFonts w:ascii="Arial" w:hAnsi="Arial" w:cs="Arial"/>
          <w:vertAlign w:val="subscript"/>
        </w:rPr>
        <w:t>ij</w:t>
      </w:r>
      <w:r>
        <w:rPr>
          <w:rFonts w:ascii="Arial" w:hAnsi="Arial" w:cs="Arial"/>
        </w:rPr>
        <w:t xml:space="preserve"> /f</w:t>
      </w:r>
      <w:r>
        <w:rPr>
          <w:rFonts w:ascii="Arial" w:hAnsi="Arial" w:cs="Arial"/>
          <w:vertAlign w:val="subscript"/>
        </w:rPr>
        <w:t>i.</w:t>
      </w:r>
      <w:r>
        <w:rPr>
          <w:rFonts w:ascii="Arial" w:hAnsi="Arial" w:cs="Arial"/>
        </w:rPr>
        <w:t xml:space="preserve">) j = 1,...,p                                            </w:t>
      </w:r>
      <w:r>
        <w:rPr>
          <w:rFonts w:ascii="Arial" w:hAnsi="Arial" w:cs="Arial"/>
          <w:b/>
        </w:rPr>
        <w:t>(2)</w:t>
      </w:r>
    </w:p>
    <w:p w:rsidR="00000000" w:rsidRDefault="00BC67ED">
      <w:pPr>
        <w:spacing w:line="480" w:lineRule="auto"/>
        <w:ind w:left="723"/>
        <w:rPr>
          <w:rFonts w:ascii="Arial" w:hAnsi="Arial" w:cs="Arial"/>
        </w:rPr>
      </w:pPr>
      <w:r>
        <w:rPr>
          <w:rFonts w:ascii="Arial" w:hAnsi="Arial" w:cs="Arial"/>
          <w:b/>
        </w:rPr>
        <w:t>masa =</w:t>
      </w:r>
      <w:r>
        <w:rPr>
          <w:rFonts w:ascii="Arial" w:hAnsi="Arial" w:cs="Arial"/>
        </w:rPr>
        <w:t xml:space="preserve"> f</w:t>
      </w:r>
      <w:r>
        <w:rPr>
          <w:rFonts w:ascii="Arial" w:hAnsi="Arial" w:cs="Arial"/>
          <w:vertAlign w:val="subscript"/>
        </w:rPr>
        <w:t>i.</w:t>
      </w:r>
      <w:r>
        <w:rPr>
          <w:rFonts w:ascii="Arial" w:hAnsi="Arial" w:cs="Arial"/>
        </w:rPr>
        <w:t xml:space="preserve"> = k</w:t>
      </w:r>
      <w:r>
        <w:rPr>
          <w:rFonts w:ascii="Arial" w:hAnsi="Arial" w:cs="Arial"/>
          <w:vertAlign w:val="subscript"/>
        </w:rPr>
        <w:t>i.</w:t>
      </w:r>
      <w:r>
        <w:rPr>
          <w:rFonts w:ascii="Arial" w:hAnsi="Arial" w:cs="Arial"/>
        </w:rPr>
        <w:t xml:space="preserve">/K                                                      </w:t>
      </w:r>
      <w:r>
        <w:rPr>
          <w:rFonts w:ascii="Arial" w:hAnsi="Arial" w:cs="Arial"/>
          <w:b/>
          <w:bCs/>
        </w:rPr>
        <w:t>(3)</w:t>
      </w:r>
    </w:p>
    <w:p w:rsidR="00000000" w:rsidRDefault="00BC67ED">
      <w:pPr>
        <w:spacing w:line="480" w:lineRule="auto"/>
        <w:ind w:left="723"/>
        <w:rPr>
          <w:rFonts w:ascii="Arial" w:hAnsi="Arial" w:cs="Arial"/>
        </w:rPr>
      </w:pPr>
      <w:r>
        <w:rPr>
          <w:rFonts w:ascii="Arial" w:hAnsi="Arial" w:cs="Arial"/>
          <w:b/>
        </w:rPr>
        <w:t>coordenadas =</w:t>
      </w:r>
      <w:r>
        <w:rPr>
          <w:rFonts w:ascii="Arial" w:hAnsi="Arial" w:cs="Arial"/>
        </w:rPr>
        <w:t xml:space="preserve"> (f</w:t>
      </w:r>
      <w:r>
        <w:rPr>
          <w:rFonts w:ascii="Arial" w:hAnsi="Arial" w:cs="Arial"/>
          <w:vertAlign w:val="subscript"/>
        </w:rPr>
        <w:t>ij</w:t>
      </w:r>
      <w:r>
        <w:rPr>
          <w:rFonts w:ascii="Arial" w:hAnsi="Arial" w:cs="Arial"/>
        </w:rPr>
        <w:t xml:space="preserve"> /(f</w:t>
      </w:r>
      <w:r>
        <w:rPr>
          <w:rFonts w:ascii="Arial" w:hAnsi="Arial" w:cs="Arial"/>
          <w:vertAlign w:val="subscript"/>
        </w:rPr>
        <w:t>i.</w:t>
      </w:r>
      <w:r>
        <w:rPr>
          <w:rFonts w:ascii="Arial" w:hAnsi="Arial" w:cs="Arial"/>
        </w:rPr>
        <w:t>f</w:t>
      </w:r>
      <w:r>
        <w:rPr>
          <w:rFonts w:ascii="Arial" w:hAnsi="Arial" w:cs="Arial"/>
          <w:vertAlign w:val="subscript"/>
        </w:rPr>
        <w:t>.j</w:t>
      </w:r>
      <w:r>
        <w:rPr>
          <w:rFonts w:ascii="Arial" w:hAnsi="Arial" w:cs="Arial"/>
          <w:vertAlign w:val="superscript"/>
        </w:rPr>
        <w:t>1/2</w:t>
      </w:r>
      <w:r>
        <w:rPr>
          <w:rFonts w:ascii="Arial" w:hAnsi="Arial" w:cs="Arial"/>
        </w:rPr>
        <w:t xml:space="preserve">)) j = 1,...,p                      </w:t>
      </w:r>
      <w:r>
        <w:rPr>
          <w:rFonts w:ascii="Arial" w:hAnsi="Arial" w:cs="Arial"/>
          <w:b/>
          <w:bCs/>
        </w:rPr>
        <w:t>(4)</w:t>
      </w:r>
    </w:p>
    <w:p w:rsidR="00000000" w:rsidRDefault="00BC67ED">
      <w:pPr>
        <w:pStyle w:val="NormalWeb"/>
        <w:spacing w:line="480" w:lineRule="auto"/>
        <w:ind w:left="723"/>
        <w:jc w:val="both"/>
        <w:rPr>
          <w:rFonts w:ascii="Arial" w:hAnsi="Arial"/>
          <w:color w:val="000000"/>
        </w:rPr>
      </w:pPr>
      <w:r>
        <w:rPr>
          <w:rFonts w:ascii="Arial" w:hAnsi="Arial"/>
          <w:color w:val="000000"/>
        </w:rPr>
        <w:t>Observando que el perfil fila no</w:t>
      </w:r>
      <w:r>
        <w:rPr>
          <w:rFonts w:ascii="Arial" w:hAnsi="Arial"/>
          <w:color w:val="000000"/>
        </w:rPr>
        <w:t xml:space="preserve"> es nada más que la frecuencia condicionada [f(j/i)], y por otra parte, que el perfil medio es equivalente al marginal de la tabla de frecuencias.</w:t>
      </w:r>
    </w:p>
    <w:p w:rsidR="00000000" w:rsidRDefault="00BC67ED">
      <w:pPr>
        <w:pStyle w:val="NormalWeb"/>
        <w:spacing w:line="480" w:lineRule="auto"/>
        <w:ind w:left="723"/>
        <w:jc w:val="both"/>
        <w:rPr>
          <w:rFonts w:ascii="Arial" w:hAnsi="Arial" w:cs="Arial"/>
        </w:rPr>
      </w:pPr>
      <w:r>
        <w:rPr>
          <w:rFonts w:ascii="Arial" w:hAnsi="Arial" w:cs="Arial"/>
          <w:color w:val="000000"/>
        </w:rPr>
        <w:t>En R</w:t>
      </w:r>
      <w:r>
        <w:rPr>
          <w:rFonts w:ascii="Arial" w:hAnsi="Arial" w:cs="Arial"/>
          <w:color w:val="000000"/>
          <w:vertAlign w:val="superscript"/>
        </w:rPr>
        <w:t>n</w:t>
      </w:r>
      <w:r>
        <w:rPr>
          <w:rFonts w:ascii="Arial" w:hAnsi="Arial" w:cs="Arial"/>
          <w:color w:val="000000"/>
        </w:rPr>
        <w:t xml:space="preserve">, cada punto columna j vendrá definido por los siguientes elementos: </w:t>
      </w:r>
    </w:p>
    <w:p w:rsidR="00000000" w:rsidRDefault="00BC67ED">
      <w:pPr>
        <w:pStyle w:val="NormalWeb"/>
        <w:spacing w:line="360" w:lineRule="auto"/>
        <w:ind w:left="723"/>
        <w:jc w:val="both"/>
        <w:rPr>
          <w:rFonts w:ascii="Arial" w:hAnsi="Arial" w:cs="Arial"/>
          <w:b/>
          <w:bCs/>
        </w:rPr>
      </w:pPr>
      <w:r>
        <w:rPr>
          <w:rFonts w:ascii="Arial" w:hAnsi="Arial" w:cs="Arial"/>
          <w:b/>
        </w:rPr>
        <w:t>masa =</w:t>
      </w:r>
      <w:r>
        <w:rPr>
          <w:rFonts w:ascii="Arial" w:hAnsi="Arial" w:cs="Arial"/>
        </w:rPr>
        <w:t xml:space="preserve">  f</w:t>
      </w:r>
      <w:r>
        <w:rPr>
          <w:rFonts w:ascii="Arial" w:hAnsi="Arial" w:cs="Arial"/>
          <w:vertAlign w:val="subscript"/>
        </w:rPr>
        <w:t>.j</w:t>
      </w:r>
      <w:r>
        <w:rPr>
          <w:rFonts w:ascii="Arial" w:hAnsi="Arial" w:cs="Arial"/>
        </w:rPr>
        <w:t xml:space="preserve"> = k</w:t>
      </w:r>
      <w:r>
        <w:rPr>
          <w:rFonts w:ascii="Arial" w:hAnsi="Arial" w:cs="Arial"/>
          <w:vertAlign w:val="subscript"/>
        </w:rPr>
        <w:t>.j</w:t>
      </w:r>
      <w:r>
        <w:rPr>
          <w:rFonts w:ascii="Arial" w:hAnsi="Arial" w:cs="Arial"/>
        </w:rPr>
        <w:t xml:space="preserve">/K               </w:t>
      </w:r>
      <w:r>
        <w:rPr>
          <w:rFonts w:ascii="Arial" w:hAnsi="Arial" w:cs="Arial"/>
        </w:rPr>
        <w:t xml:space="preserve">                                       </w:t>
      </w:r>
      <w:r>
        <w:rPr>
          <w:rFonts w:ascii="Arial" w:hAnsi="Arial" w:cs="Arial"/>
          <w:b/>
          <w:bCs/>
        </w:rPr>
        <w:t>(5)</w:t>
      </w:r>
    </w:p>
    <w:p w:rsidR="00000000" w:rsidRDefault="00BC67ED">
      <w:pPr>
        <w:pStyle w:val="NormalWeb"/>
        <w:spacing w:line="360" w:lineRule="auto"/>
        <w:ind w:left="723"/>
        <w:jc w:val="both"/>
        <w:rPr>
          <w:rFonts w:ascii="Arial" w:hAnsi="Arial" w:cs="Arial"/>
        </w:rPr>
      </w:pPr>
      <w:r>
        <w:rPr>
          <w:rFonts w:ascii="Arial" w:hAnsi="Arial" w:cs="Arial"/>
          <w:b/>
        </w:rPr>
        <w:t>perfil =</w:t>
      </w:r>
      <w:r>
        <w:rPr>
          <w:rFonts w:ascii="Arial" w:hAnsi="Arial" w:cs="Arial"/>
        </w:rPr>
        <w:t xml:space="preserve"> (f</w:t>
      </w:r>
      <w:r>
        <w:rPr>
          <w:rFonts w:ascii="Arial" w:hAnsi="Arial" w:cs="Arial"/>
          <w:vertAlign w:val="subscript"/>
        </w:rPr>
        <w:t>ij</w:t>
      </w:r>
      <w:r>
        <w:rPr>
          <w:rFonts w:ascii="Arial" w:hAnsi="Arial" w:cs="Arial"/>
        </w:rPr>
        <w:t xml:space="preserve"> /f</w:t>
      </w:r>
      <w:r>
        <w:rPr>
          <w:rFonts w:ascii="Arial" w:hAnsi="Arial" w:cs="Arial"/>
          <w:vertAlign w:val="subscript"/>
        </w:rPr>
        <w:t>.j</w:t>
      </w:r>
      <w:r>
        <w:rPr>
          <w:rFonts w:ascii="Arial" w:hAnsi="Arial" w:cs="Arial"/>
        </w:rPr>
        <w:t xml:space="preserve">) j = 1,...,n                                            </w:t>
      </w:r>
      <w:r>
        <w:rPr>
          <w:rFonts w:ascii="Arial" w:hAnsi="Arial" w:cs="Arial"/>
          <w:b/>
          <w:bCs/>
        </w:rPr>
        <w:t>(6)</w:t>
      </w:r>
    </w:p>
    <w:p w:rsidR="00000000" w:rsidRDefault="00BC67ED">
      <w:pPr>
        <w:pStyle w:val="NormalWeb"/>
        <w:spacing w:line="360" w:lineRule="auto"/>
        <w:ind w:left="723"/>
        <w:jc w:val="both"/>
        <w:rPr>
          <w:rFonts w:ascii="Arial" w:hAnsi="Arial" w:cs="Arial"/>
          <w:b/>
          <w:bCs/>
        </w:rPr>
      </w:pPr>
      <w:r>
        <w:rPr>
          <w:rFonts w:ascii="Arial" w:hAnsi="Arial" w:cs="Arial"/>
          <w:b/>
        </w:rPr>
        <w:t>coordenadas =</w:t>
      </w:r>
      <w:r>
        <w:rPr>
          <w:rFonts w:ascii="Arial" w:hAnsi="Arial" w:cs="Arial"/>
        </w:rPr>
        <w:t xml:space="preserve"> (f</w:t>
      </w:r>
      <w:r>
        <w:rPr>
          <w:rFonts w:ascii="Arial" w:hAnsi="Arial" w:cs="Arial"/>
          <w:vertAlign w:val="subscript"/>
        </w:rPr>
        <w:t>ij</w:t>
      </w:r>
      <w:r>
        <w:rPr>
          <w:rFonts w:ascii="Arial" w:hAnsi="Arial" w:cs="Arial"/>
        </w:rPr>
        <w:t xml:space="preserve"> /(f</w:t>
      </w:r>
      <w:r>
        <w:rPr>
          <w:rFonts w:ascii="Arial" w:hAnsi="Arial" w:cs="Arial"/>
          <w:vertAlign w:val="subscript"/>
        </w:rPr>
        <w:t>.j</w:t>
      </w:r>
      <w:r>
        <w:rPr>
          <w:rFonts w:ascii="Arial" w:hAnsi="Arial" w:cs="Arial"/>
        </w:rPr>
        <w:t>f</w:t>
      </w:r>
      <w:r>
        <w:rPr>
          <w:rFonts w:ascii="Arial" w:hAnsi="Arial" w:cs="Arial"/>
          <w:vertAlign w:val="subscript"/>
        </w:rPr>
        <w:t>i.</w:t>
      </w:r>
      <w:r>
        <w:rPr>
          <w:rFonts w:ascii="Arial" w:hAnsi="Arial" w:cs="Arial"/>
          <w:vertAlign w:val="superscript"/>
        </w:rPr>
        <w:t>1/2</w:t>
      </w:r>
      <w:r>
        <w:rPr>
          <w:rFonts w:ascii="Arial" w:hAnsi="Arial" w:cs="Arial"/>
        </w:rPr>
        <w:t xml:space="preserve">)) j = 1,...,n                      </w:t>
      </w:r>
      <w:r>
        <w:rPr>
          <w:rFonts w:ascii="Arial" w:hAnsi="Arial" w:cs="Arial"/>
          <w:b/>
          <w:bCs/>
        </w:rPr>
        <w:t>(7)</w:t>
      </w:r>
    </w:p>
    <w:p w:rsidR="00000000" w:rsidRDefault="00BC67ED">
      <w:pPr>
        <w:pStyle w:val="NormalWeb"/>
        <w:spacing w:line="480" w:lineRule="auto"/>
        <w:ind w:left="723"/>
        <w:jc w:val="both"/>
        <w:rPr>
          <w:rFonts w:ascii="Arial" w:hAnsi="Arial" w:cs="Arial"/>
        </w:rPr>
      </w:pPr>
      <w:r>
        <w:rPr>
          <w:rFonts w:ascii="Arial" w:hAnsi="Arial" w:cs="Arial"/>
        </w:rPr>
        <w:lastRenderedPageBreak/>
        <w:t>La masa de una fila (f</w:t>
      </w:r>
      <w:r>
        <w:rPr>
          <w:rFonts w:ascii="Arial" w:hAnsi="Arial" w:cs="Arial"/>
          <w:vertAlign w:val="subscript"/>
        </w:rPr>
        <w:t>i.</w:t>
      </w:r>
      <w:r>
        <w:rPr>
          <w:rFonts w:ascii="Arial" w:hAnsi="Arial" w:cs="Arial"/>
        </w:rPr>
        <w:t>) o columna (f</w:t>
      </w:r>
      <w:r>
        <w:rPr>
          <w:rFonts w:ascii="Arial" w:hAnsi="Arial" w:cs="Arial"/>
          <w:vertAlign w:val="subscript"/>
        </w:rPr>
        <w:t>.j</w:t>
      </w:r>
      <w:r>
        <w:rPr>
          <w:rFonts w:ascii="Arial" w:hAnsi="Arial" w:cs="Arial"/>
        </w:rPr>
        <w:t>) debe entenderse como l</w:t>
      </w:r>
      <w:r>
        <w:rPr>
          <w:rFonts w:ascii="Arial" w:hAnsi="Arial" w:cs="Arial"/>
        </w:rPr>
        <w:t>a importancia relativa dentro de la tabla de datos. Sirven para atenuar la preponderancia que podría tener alguna fila o columna en el análisis. Por otra parte, el perfil fila o perfil columna identifica cada modalidad en cuanto a su importancia relativa. </w:t>
      </w:r>
      <w:r>
        <w:rPr>
          <w:rFonts w:ascii="Arial" w:hAnsi="Arial" w:cs="Arial"/>
        </w:rPr>
        <w:t xml:space="preserve"> </w:t>
      </w:r>
    </w:p>
    <w:p w:rsidR="00000000" w:rsidRDefault="00BC67ED" w:rsidP="00BC67ED">
      <w:pPr>
        <w:numPr>
          <w:ilvl w:val="2"/>
          <w:numId w:val="28"/>
        </w:numPr>
        <w:tabs>
          <w:tab w:val="clear" w:pos="2514"/>
        </w:tabs>
        <w:spacing w:line="480" w:lineRule="auto"/>
        <w:ind w:left="723" w:hanging="720"/>
        <w:jc w:val="both"/>
        <w:rPr>
          <w:rFonts w:ascii="Arial" w:hAnsi="Arial" w:cs="Arial"/>
          <w:b/>
        </w:rPr>
      </w:pPr>
      <w:r>
        <w:rPr>
          <w:rFonts w:ascii="Arial" w:hAnsi="Arial" w:cs="Arial"/>
          <w:b/>
          <w:bCs/>
        </w:rPr>
        <w:t>ELECCIÓN DE LAS DISTANCIAS.</w:t>
      </w:r>
    </w:p>
    <w:p w:rsidR="00000000" w:rsidRDefault="00BC67ED">
      <w:pPr>
        <w:pStyle w:val="NormalWeb"/>
        <w:spacing w:line="480" w:lineRule="auto"/>
        <w:ind w:left="723"/>
        <w:jc w:val="both"/>
        <w:rPr>
          <w:rFonts w:ascii="Arial" w:hAnsi="Arial" w:cs="Arial"/>
        </w:rPr>
      </w:pPr>
      <w:r>
        <w:rPr>
          <w:rFonts w:ascii="Arial" w:hAnsi="Arial" w:cs="Arial"/>
        </w:rPr>
        <w:t xml:space="preserve">En </w:t>
      </w:r>
      <w:r>
        <w:rPr>
          <w:rFonts w:ascii="Arial" w:hAnsi="Arial" w:cs="Arial"/>
          <w:b/>
          <w:bCs/>
        </w:rPr>
        <w:t>R</w:t>
      </w:r>
      <w:r>
        <w:rPr>
          <w:rFonts w:ascii="Arial" w:hAnsi="Arial" w:cs="Arial"/>
          <w:vertAlign w:val="superscript"/>
        </w:rPr>
        <w:t>p</w:t>
      </w:r>
      <w:r>
        <w:rPr>
          <w:rFonts w:ascii="Arial" w:hAnsi="Arial" w:cs="Arial"/>
        </w:rPr>
        <w:t xml:space="preserve">, el cuadrado de la distancia entre dos puntos fila (i,i') cualesquiera viene dado por la expresión métrica (métrica de Mahalanobis) conocida como la distancia </w:t>
      </w:r>
      <w:r>
        <w:rPr>
          <w:rFonts w:ascii="Symbol" w:hAnsi="Symbol" w:cs="Arial"/>
        </w:rPr>
        <w:t></w:t>
      </w:r>
      <w:r>
        <w:rPr>
          <w:rFonts w:ascii="Arial" w:hAnsi="Arial" w:cs="Arial"/>
          <w:vertAlign w:val="superscript"/>
        </w:rPr>
        <w:t>2</w:t>
      </w:r>
      <w:r>
        <w:rPr>
          <w:rFonts w:ascii="Arial" w:hAnsi="Arial" w:cs="Arial"/>
        </w:rPr>
        <w:t>. La justificación del uso de este tipo de distancia, y no la euclidiana básica, se basa en que esta última plantea el problema de menospreciar los pesos de las columnas lo cual da como resultado final, en algunas soluciones, conclusiones inaceptables.</w:t>
      </w:r>
    </w:p>
    <w:p w:rsidR="00000000" w:rsidRDefault="00BC67ED">
      <w:pPr>
        <w:pStyle w:val="NormalWeb"/>
        <w:ind w:left="723"/>
        <w:rPr>
          <w:rFonts w:ascii="Arial" w:hAnsi="Arial" w:cs="Arial"/>
        </w:rPr>
      </w:pPr>
      <w:r>
        <w:t> </w:t>
      </w:r>
      <w:r>
        <w:t xml:space="preserve"> </w:t>
      </w:r>
      <w:r>
        <w:br/>
      </w:r>
      <w:r>
        <w:rPr>
          <w:rFonts w:ascii="Arial" w:hAnsi="Arial" w:cs="Arial"/>
        </w:rPr>
        <w:t xml:space="preserve">donde verificando la distancia euclidiana: </w:t>
      </w:r>
    </w:p>
    <w:p w:rsidR="00000000" w:rsidRDefault="00221239">
      <w:pPr>
        <w:pStyle w:val="NormalWeb"/>
        <w:ind w:left="15" w:firstLine="708"/>
        <w:jc w:val="center"/>
      </w:pPr>
      <w:r>
        <w:rPr>
          <w:noProof/>
          <w:lang w:val="es-ES" w:eastAsia="es-ES"/>
        </w:rPr>
        <w:drawing>
          <wp:inline distT="0" distB="0" distL="0" distR="0">
            <wp:extent cx="3862705" cy="570865"/>
            <wp:effectExtent l="19050" t="0" r="4445" b="0"/>
            <wp:docPr id="113" name="Imagen 1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
                    <pic:cNvPicPr>
                      <a:picLocks noChangeAspect="1" noChangeArrowheads="1"/>
                    </pic:cNvPicPr>
                  </pic:nvPicPr>
                  <pic:blipFill>
                    <a:blip r:embed="rId230"/>
                    <a:srcRect/>
                    <a:stretch>
                      <a:fillRect/>
                    </a:stretch>
                  </pic:blipFill>
                  <pic:spPr bwMode="auto">
                    <a:xfrm>
                      <a:off x="0" y="0"/>
                      <a:ext cx="3862705" cy="570865"/>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obtenemos como resultados distancias equivalent</w:t>
      </w:r>
      <w:r>
        <w:rPr>
          <w:rFonts w:ascii="Arial" w:hAnsi="Arial" w:cs="Arial"/>
        </w:rPr>
        <w:t xml:space="preserve">es para las categorías-columna positivo lo cual en el ámbito intuitivo (cualitativamente) es contradictorio, ya que las diferencias para los dos sujetos en estas dos categorías son evidentemente distintas (más del </w:t>
      </w:r>
      <w:r>
        <w:rPr>
          <w:rFonts w:ascii="Arial" w:hAnsi="Arial" w:cs="Arial"/>
        </w:rPr>
        <w:lastRenderedPageBreak/>
        <w:t>doble en la categoría "negativo" y una sép</w:t>
      </w:r>
      <w:r>
        <w:rPr>
          <w:rFonts w:ascii="Arial" w:hAnsi="Arial" w:cs="Arial"/>
        </w:rPr>
        <w:t xml:space="preserve">tima parte en la categoría "positivo"). </w:t>
      </w:r>
    </w:p>
    <w:p w:rsidR="00000000" w:rsidRDefault="00BC67ED">
      <w:pPr>
        <w:pStyle w:val="NormalWeb"/>
        <w:spacing w:line="480" w:lineRule="auto"/>
        <w:ind w:left="723"/>
        <w:jc w:val="both"/>
        <w:rPr>
          <w:rFonts w:ascii="Arial" w:hAnsi="Arial" w:cs="Arial"/>
        </w:rPr>
      </w:pPr>
      <w:r>
        <w:rPr>
          <w:rFonts w:ascii="Arial" w:hAnsi="Arial" w:cs="Arial"/>
        </w:rPr>
        <w:t xml:space="preserve">La inconsistencia anterior,  producida por los efectos marginales, se puede contrarrestar operando las distancias euclidianas en forma de cocientes: </w:t>
      </w:r>
    </w:p>
    <w:p w:rsidR="00000000" w:rsidRDefault="00221239">
      <w:pPr>
        <w:pStyle w:val="NormalWeb"/>
        <w:ind w:left="15" w:firstLine="708"/>
        <w:jc w:val="center"/>
      </w:pPr>
      <w:r>
        <w:rPr>
          <w:noProof/>
          <w:lang w:val="es-ES" w:eastAsia="es-ES"/>
        </w:rPr>
        <w:drawing>
          <wp:inline distT="0" distB="0" distL="0" distR="0">
            <wp:extent cx="4133215" cy="629285"/>
            <wp:effectExtent l="19050" t="0" r="635" b="0"/>
            <wp:docPr id="114" name="Imagen 1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2"/>
                    <pic:cNvPicPr>
                      <a:picLocks noChangeAspect="1" noChangeArrowheads="1"/>
                    </pic:cNvPicPr>
                  </pic:nvPicPr>
                  <pic:blipFill>
                    <a:blip r:embed="rId231"/>
                    <a:srcRect/>
                    <a:stretch>
                      <a:fillRect/>
                    </a:stretch>
                  </pic:blipFill>
                  <pic:spPr bwMode="auto">
                    <a:xfrm>
                      <a:off x="0" y="0"/>
                      <a:ext cx="4133215" cy="629285"/>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pero el peso excesivo de las columnas con f</w:t>
      </w:r>
      <w:r>
        <w:rPr>
          <w:rFonts w:ascii="Arial" w:hAnsi="Arial" w:cs="Arial"/>
          <w:vertAlign w:val="subscript"/>
        </w:rPr>
        <w:t>.j</w:t>
      </w:r>
      <w:r>
        <w:rPr>
          <w:rFonts w:ascii="Arial" w:hAnsi="Arial" w:cs="Arial"/>
        </w:rPr>
        <w:t xml:space="preserve"> cuando contiene valores elevados sigue distorsionando los resultados. La forma de controlar esta fuente de error</w:t>
      </w:r>
      <w:r>
        <w:rPr>
          <w:rFonts w:ascii="Arial" w:hAnsi="Arial" w:cs="Arial"/>
        </w:rPr>
        <w:t xml:space="preserve"> es ponderando la expresión anterior, formulación conocida como distancia </w:t>
      </w:r>
      <w:r>
        <w:rPr>
          <w:rFonts w:ascii="Symbol" w:hAnsi="Symbol" w:cs="Arial"/>
        </w:rPr>
        <w:t></w:t>
      </w:r>
      <w:r>
        <w:rPr>
          <w:rFonts w:ascii="Symbol" w:hAnsi="Symbol" w:cs="Arial"/>
          <w:vertAlign w:val="superscript"/>
        </w:rPr>
        <w:t></w:t>
      </w:r>
      <w:r>
        <w:rPr>
          <w:rFonts w:ascii="Arial" w:hAnsi="Arial" w:cs="Arial"/>
        </w:rPr>
        <w:t xml:space="preserve">: </w:t>
      </w:r>
    </w:p>
    <w:p w:rsidR="00000000" w:rsidRDefault="00221239">
      <w:pPr>
        <w:pStyle w:val="NormalWeb"/>
        <w:ind w:left="15" w:firstLine="708"/>
        <w:jc w:val="center"/>
      </w:pPr>
      <w:r>
        <w:rPr>
          <w:noProof/>
          <w:lang w:val="es-ES" w:eastAsia="es-ES"/>
        </w:rPr>
        <w:drawing>
          <wp:inline distT="0" distB="0" distL="0" distR="0">
            <wp:extent cx="4476750" cy="673100"/>
            <wp:effectExtent l="19050" t="0" r="0" b="0"/>
            <wp:docPr id="115" name="Imagen 11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3"/>
                    <pic:cNvPicPr>
                      <a:picLocks noChangeAspect="1" noChangeArrowheads="1"/>
                    </pic:cNvPicPr>
                  </pic:nvPicPr>
                  <pic:blipFill>
                    <a:blip r:embed="rId232"/>
                    <a:srcRect/>
                    <a:stretch>
                      <a:fillRect/>
                    </a:stretch>
                  </pic:blipFill>
                  <pic:spPr bwMode="auto">
                    <a:xfrm>
                      <a:off x="0" y="0"/>
                      <a:ext cx="4476750" cy="673100"/>
                    </a:xfrm>
                    <a:prstGeom prst="rect">
                      <a:avLst/>
                    </a:prstGeom>
                    <a:noFill/>
                    <a:ln w="9525">
                      <a:noFill/>
                      <a:miter lim="800000"/>
                      <a:headEnd/>
                      <a:tailEnd/>
                    </a:ln>
                  </pic:spPr>
                </pic:pic>
              </a:graphicData>
            </a:graphic>
          </wp:inline>
        </w:drawing>
      </w:r>
    </w:p>
    <w:p w:rsidR="00000000" w:rsidRDefault="00BC67ED">
      <w:pPr>
        <w:pStyle w:val="NormalWeb"/>
        <w:spacing w:line="480" w:lineRule="auto"/>
        <w:ind w:left="15" w:firstLine="708"/>
        <w:jc w:val="both"/>
        <w:rPr>
          <w:rFonts w:ascii="Arial" w:hAnsi="Arial" w:cs="Arial"/>
        </w:rPr>
      </w:pPr>
      <w:r>
        <w:rPr>
          <w:rFonts w:ascii="Arial" w:hAnsi="Arial" w:cs="Arial"/>
        </w:rPr>
        <w:t xml:space="preserve">verificándose </w:t>
      </w:r>
      <w:r>
        <w:rPr>
          <w:rFonts w:ascii="Arial" w:hAnsi="Arial" w:cs="Arial"/>
        </w:rPr>
        <w:t xml:space="preserve">además, que: </w:t>
      </w:r>
    </w:p>
    <w:p w:rsidR="00000000" w:rsidRDefault="00221239">
      <w:pPr>
        <w:pStyle w:val="NormalWeb"/>
        <w:ind w:left="15" w:firstLine="708"/>
        <w:jc w:val="center"/>
      </w:pPr>
      <w:r>
        <w:rPr>
          <w:noProof/>
          <w:lang w:val="es-ES" w:eastAsia="es-ES"/>
        </w:rPr>
        <w:drawing>
          <wp:inline distT="0" distB="0" distL="0" distR="0">
            <wp:extent cx="4330700" cy="702310"/>
            <wp:effectExtent l="19050" t="0" r="0" b="0"/>
            <wp:docPr id="116" name="Imagen 1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4"/>
                    <pic:cNvPicPr>
                      <a:picLocks noChangeAspect="1" noChangeArrowheads="1"/>
                    </pic:cNvPicPr>
                  </pic:nvPicPr>
                  <pic:blipFill>
                    <a:blip r:embed="rId233"/>
                    <a:srcRect/>
                    <a:stretch>
                      <a:fillRect/>
                    </a:stretch>
                  </pic:blipFill>
                  <pic:spPr bwMode="auto">
                    <a:xfrm>
                      <a:off x="0" y="0"/>
                      <a:ext cx="4330700" cy="702310"/>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A este tipo de distancia se le denomina también "ponderada", por cumplir la pro</w:t>
      </w:r>
      <w:r>
        <w:rPr>
          <w:rFonts w:ascii="Arial" w:hAnsi="Arial" w:cs="Arial"/>
        </w:rPr>
        <w:t xml:space="preserve">piedad de invarianza o equivalencia distribucional. Esto implica que si se unen dos puntos filas o dos puntos columna con </w:t>
      </w:r>
      <w:r>
        <w:rPr>
          <w:rFonts w:ascii="Arial" w:hAnsi="Arial" w:cs="Arial"/>
        </w:rPr>
        <w:lastRenderedPageBreak/>
        <w:t>idénticos perfiles, la distancia entre esos dos puntos queda invariante. Esto es, si dos puntos son semejantes se pueden agrupar sin a</w:t>
      </w:r>
      <w:r>
        <w:rPr>
          <w:rFonts w:ascii="Arial" w:hAnsi="Arial" w:cs="Arial"/>
        </w:rPr>
        <w:t xml:space="preserve">lterar las distancias para el resto de los puntos en </w:t>
      </w:r>
      <w:r>
        <w:rPr>
          <w:rFonts w:ascii="Arial" w:hAnsi="Arial" w:cs="Arial"/>
          <w:b/>
          <w:bCs/>
        </w:rPr>
        <w:t>R</w:t>
      </w:r>
      <w:r>
        <w:rPr>
          <w:rFonts w:ascii="Arial" w:hAnsi="Arial" w:cs="Arial"/>
          <w:vertAlign w:val="superscript"/>
        </w:rPr>
        <w:t>p</w:t>
      </w:r>
      <w:r>
        <w:rPr>
          <w:rFonts w:ascii="Arial" w:hAnsi="Arial" w:cs="Arial"/>
        </w:rPr>
        <w:t xml:space="preserve"> y </w:t>
      </w:r>
      <w:r>
        <w:rPr>
          <w:rFonts w:ascii="Arial" w:hAnsi="Arial" w:cs="Arial"/>
          <w:b/>
          <w:bCs/>
        </w:rPr>
        <w:t>R</w:t>
      </w:r>
      <w:r>
        <w:rPr>
          <w:rFonts w:ascii="Arial" w:hAnsi="Arial" w:cs="Arial"/>
          <w:vertAlign w:val="superscript"/>
        </w:rPr>
        <w:t>n</w:t>
      </w:r>
      <w:r>
        <w:rPr>
          <w:rFonts w:ascii="Arial" w:hAnsi="Arial" w:cs="Arial"/>
        </w:rPr>
        <w:t xml:space="preserve">, lo cual representa una ventaja al poder garantizar la arbitrariedad de la nomenclatura (Lebart et al., 1982). </w:t>
      </w:r>
    </w:p>
    <w:p w:rsidR="00000000" w:rsidRDefault="00BC67ED">
      <w:pPr>
        <w:pStyle w:val="NormalWeb"/>
        <w:spacing w:line="480" w:lineRule="auto"/>
        <w:ind w:left="723"/>
        <w:jc w:val="both"/>
        <w:rPr>
          <w:rFonts w:ascii="Arial" w:hAnsi="Arial" w:cs="Arial"/>
        </w:rPr>
      </w:pPr>
      <w:r>
        <w:rPr>
          <w:rFonts w:ascii="Arial" w:hAnsi="Arial" w:cs="Arial"/>
        </w:rPr>
        <w:t xml:space="preserve">Para </w:t>
      </w:r>
      <w:r>
        <w:rPr>
          <w:rFonts w:ascii="Arial" w:hAnsi="Arial" w:cs="Arial"/>
          <w:b/>
          <w:bCs/>
        </w:rPr>
        <w:t>R</w:t>
      </w:r>
      <w:r>
        <w:rPr>
          <w:rFonts w:ascii="Arial" w:hAnsi="Arial" w:cs="Arial"/>
          <w:vertAlign w:val="superscript"/>
        </w:rPr>
        <w:t>n</w:t>
      </w:r>
      <w:r>
        <w:rPr>
          <w:rFonts w:ascii="Arial" w:hAnsi="Arial" w:cs="Arial"/>
        </w:rPr>
        <w:t>, la distancia de dos puntos columnas cualesquiera (j,j'), vendrá dado por l</w:t>
      </w:r>
      <w:r>
        <w:rPr>
          <w:rFonts w:ascii="Arial" w:hAnsi="Arial" w:cs="Arial"/>
        </w:rPr>
        <w:t xml:space="preserve">a formula semejante a la vista anteriormente en el caso de las filas: </w:t>
      </w:r>
    </w:p>
    <w:p w:rsidR="00000000" w:rsidRDefault="00221239">
      <w:pPr>
        <w:pStyle w:val="NormalWeb"/>
        <w:ind w:left="15" w:firstLine="708"/>
        <w:jc w:val="center"/>
      </w:pPr>
      <w:r>
        <w:rPr>
          <w:noProof/>
          <w:lang w:val="es-ES" w:eastAsia="es-ES"/>
        </w:rPr>
        <w:drawing>
          <wp:inline distT="0" distB="0" distL="0" distR="0">
            <wp:extent cx="4264660" cy="753745"/>
            <wp:effectExtent l="19050" t="0" r="2540" b="0"/>
            <wp:docPr id="117" name="Imagen 1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5"/>
                    <pic:cNvPicPr>
                      <a:picLocks noChangeAspect="1" noChangeArrowheads="1"/>
                    </pic:cNvPicPr>
                  </pic:nvPicPr>
                  <pic:blipFill>
                    <a:blip r:embed="rId234"/>
                    <a:srcRect/>
                    <a:stretch>
                      <a:fillRect/>
                    </a:stretch>
                  </pic:blipFill>
                  <pic:spPr bwMode="auto">
                    <a:xfrm>
                      <a:off x="0" y="0"/>
                      <a:ext cx="4264660" cy="753745"/>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La originalidad de est</w:t>
      </w:r>
      <w:r>
        <w:rPr>
          <w:rFonts w:ascii="Arial" w:hAnsi="Arial" w:cs="Arial"/>
        </w:rPr>
        <w:t xml:space="preserve">e tipo de análisis radica en la utilización de la distancia </w:t>
      </w:r>
      <w:r>
        <w:rPr>
          <w:rFonts w:ascii="Symbol" w:hAnsi="Symbol" w:cs="Arial"/>
        </w:rPr>
        <w:t></w:t>
      </w:r>
      <w:r>
        <w:rPr>
          <w:rFonts w:ascii="Symbol" w:hAnsi="Symbol" w:cs="Arial"/>
          <w:vertAlign w:val="superscript"/>
        </w:rPr>
        <w:t></w:t>
      </w:r>
      <w:r>
        <w:rPr>
          <w:rFonts w:ascii="Arial" w:hAnsi="Arial" w:cs="Arial"/>
        </w:rPr>
        <w:t xml:space="preserve">, que si bien no es equivalente al </w:t>
      </w:r>
      <w:r>
        <w:rPr>
          <w:rFonts w:ascii="Symbol" w:hAnsi="Symbol" w:cs="Arial"/>
        </w:rPr>
        <w:t></w:t>
      </w:r>
      <w:r>
        <w:rPr>
          <w:rFonts w:ascii="Symbol" w:hAnsi="Symbol" w:cs="Arial"/>
          <w:vertAlign w:val="superscript"/>
        </w:rPr>
        <w:t></w:t>
      </w:r>
      <w:r>
        <w:rPr>
          <w:rFonts w:ascii="Arial" w:hAnsi="Arial" w:cs="Arial"/>
        </w:rPr>
        <w:t xml:space="preserve"> de contingencia (formulación de Pearson) si están relacionadas entre sí en la medida en que éste es igual a la nube de inercia (NI), que podemos también obt</w:t>
      </w:r>
      <w:r>
        <w:rPr>
          <w:rFonts w:ascii="Arial" w:hAnsi="Arial" w:cs="Arial"/>
        </w:rPr>
        <w:t xml:space="preserve">ener por medio de la distancia </w:t>
      </w:r>
      <w:r>
        <w:rPr>
          <w:rFonts w:ascii="Symbol" w:hAnsi="Symbol" w:cs="Arial"/>
        </w:rPr>
        <w:t></w:t>
      </w:r>
      <w:r>
        <w:rPr>
          <w:rFonts w:ascii="Symbol" w:hAnsi="Symbol" w:cs="Arial"/>
          <w:vertAlign w:val="superscript"/>
        </w:rPr>
        <w:t></w:t>
      </w:r>
      <w:r>
        <w:rPr>
          <w:rFonts w:ascii="Arial" w:hAnsi="Arial" w:cs="Arial"/>
        </w:rPr>
        <w:t>, multiplicada por la suma de la matriz de contingencia (K). Ya que la nube de inercia que podemos resolver por:</w:t>
      </w:r>
    </w:p>
    <w:p w:rsidR="00000000" w:rsidRDefault="00221239">
      <w:pPr>
        <w:pStyle w:val="NormalWeb"/>
        <w:ind w:left="15" w:firstLine="708"/>
        <w:jc w:val="center"/>
      </w:pPr>
      <w:r>
        <w:rPr>
          <w:noProof/>
          <w:lang w:val="es-ES" w:eastAsia="es-ES"/>
        </w:rPr>
        <w:drawing>
          <wp:inline distT="0" distB="0" distL="0" distR="0">
            <wp:extent cx="3284220" cy="417195"/>
            <wp:effectExtent l="19050" t="0" r="0" b="0"/>
            <wp:docPr id="118" name="Imagen 11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6"/>
                    <pic:cNvPicPr>
                      <a:picLocks noChangeAspect="1" noChangeArrowheads="1"/>
                    </pic:cNvPicPr>
                  </pic:nvPicPr>
                  <pic:blipFill>
                    <a:blip r:embed="rId235"/>
                    <a:srcRect/>
                    <a:stretch>
                      <a:fillRect/>
                    </a:stretch>
                  </pic:blipFill>
                  <pic:spPr bwMode="auto">
                    <a:xfrm>
                      <a:off x="0" y="0"/>
                      <a:ext cx="3284220" cy="417195"/>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p>
    <w:p w:rsidR="00000000" w:rsidRDefault="00BC67ED">
      <w:pPr>
        <w:pStyle w:val="NormalWeb"/>
        <w:spacing w:line="480" w:lineRule="auto"/>
        <w:ind w:left="723"/>
        <w:jc w:val="both"/>
        <w:rPr>
          <w:rFonts w:ascii="Arial" w:hAnsi="Arial" w:cs="Arial"/>
        </w:rPr>
      </w:pPr>
      <w:r>
        <w:rPr>
          <w:rFonts w:ascii="Arial" w:hAnsi="Arial" w:cs="Arial"/>
        </w:rPr>
        <w:lastRenderedPageBreak/>
        <w:t>resultando entonces que:</w:t>
      </w:r>
    </w:p>
    <w:p w:rsidR="00000000" w:rsidRDefault="00221239">
      <w:pPr>
        <w:spacing w:line="480" w:lineRule="auto"/>
        <w:ind w:left="387" w:firstLine="660"/>
        <w:jc w:val="both"/>
      </w:pPr>
      <w:r>
        <w:rPr>
          <w:noProof/>
          <w:lang w:val="es-ES" w:eastAsia="es-ES"/>
        </w:rPr>
        <w:drawing>
          <wp:inline distT="0" distB="0" distL="0" distR="0">
            <wp:extent cx="3745230" cy="438785"/>
            <wp:effectExtent l="19050" t="0" r="7620" b="0"/>
            <wp:docPr id="119" name="Imagen 11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7"/>
                    <pic:cNvPicPr>
                      <a:picLocks noChangeAspect="1" noChangeArrowheads="1"/>
                    </pic:cNvPicPr>
                  </pic:nvPicPr>
                  <pic:blipFill>
                    <a:blip r:embed="rId236"/>
                    <a:srcRect/>
                    <a:stretch>
                      <a:fillRect/>
                    </a:stretch>
                  </pic:blipFill>
                  <pic:spPr bwMode="auto">
                    <a:xfrm>
                      <a:off x="0" y="0"/>
                      <a:ext cx="3745230" cy="438785"/>
                    </a:xfrm>
                    <a:prstGeom prst="rect">
                      <a:avLst/>
                    </a:prstGeom>
                    <a:noFill/>
                    <a:ln w="9525">
                      <a:noFill/>
                      <a:miter lim="800000"/>
                      <a:headEnd/>
                      <a:tailEnd/>
                    </a:ln>
                  </pic:spPr>
                </pic:pic>
              </a:graphicData>
            </a:graphic>
          </wp:inline>
        </w:drawing>
      </w:r>
    </w:p>
    <w:p w:rsidR="00000000" w:rsidRDefault="00BC67ED">
      <w:pPr>
        <w:spacing w:line="480" w:lineRule="auto"/>
        <w:ind w:left="387" w:firstLine="660"/>
        <w:jc w:val="both"/>
        <w:rPr>
          <w:rFonts w:ascii="Arial" w:hAnsi="Arial" w:cs="Arial"/>
          <w:b/>
        </w:rPr>
      </w:pPr>
    </w:p>
    <w:p w:rsidR="00000000" w:rsidRDefault="00BC67ED" w:rsidP="00BC67ED">
      <w:pPr>
        <w:numPr>
          <w:ilvl w:val="2"/>
          <w:numId w:val="28"/>
        </w:numPr>
        <w:tabs>
          <w:tab w:val="clear" w:pos="2514"/>
        </w:tabs>
        <w:spacing w:line="480" w:lineRule="auto"/>
        <w:ind w:left="723" w:hanging="720"/>
        <w:jc w:val="both"/>
        <w:rPr>
          <w:rFonts w:ascii="Arial" w:hAnsi="Arial" w:cs="Arial"/>
          <w:b/>
        </w:rPr>
      </w:pPr>
      <w:r>
        <w:rPr>
          <w:rFonts w:ascii="Arial" w:hAnsi="Arial" w:cs="Arial"/>
          <w:b/>
          <w:bCs/>
        </w:rPr>
        <w:t xml:space="preserve">Contraste de </w:t>
      </w:r>
      <w:r>
        <w:rPr>
          <w:rFonts w:ascii="Arial" w:hAnsi="Arial" w:cs="Arial"/>
          <w:b/>
          <w:bCs/>
        </w:rPr>
        <w:t>independencia.</w:t>
      </w:r>
    </w:p>
    <w:p w:rsidR="00000000" w:rsidRDefault="00BC67ED">
      <w:pPr>
        <w:pStyle w:val="NormalWeb"/>
        <w:spacing w:line="480" w:lineRule="auto"/>
        <w:ind w:left="723"/>
        <w:jc w:val="both"/>
        <w:rPr>
          <w:rFonts w:ascii="Arial" w:hAnsi="Arial" w:cs="Arial"/>
        </w:rPr>
      </w:pPr>
      <w:r>
        <w:rPr>
          <w:rFonts w:ascii="Arial" w:hAnsi="Arial" w:cs="Arial"/>
        </w:rPr>
        <w:t>Usando la notación de la tabla, donde f</w:t>
      </w:r>
      <w:r>
        <w:rPr>
          <w:rFonts w:ascii="Arial" w:hAnsi="Arial" w:cs="Arial"/>
          <w:vertAlign w:val="subscript"/>
        </w:rPr>
        <w:t>ij</w:t>
      </w:r>
      <w:r>
        <w:rPr>
          <w:rFonts w:ascii="Arial" w:hAnsi="Arial" w:cs="Arial"/>
        </w:rPr>
        <w:t>, f</w:t>
      </w:r>
      <w:r>
        <w:rPr>
          <w:rFonts w:ascii="Arial" w:hAnsi="Arial" w:cs="Arial"/>
          <w:vertAlign w:val="subscript"/>
        </w:rPr>
        <w:t>i.</w:t>
      </w:r>
      <w:r>
        <w:rPr>
          <w:rFonts w:ascii="Arial" w:hAnsi="Arial" w:cs="Arial"/>
        </w:rPr>
        <w:t xml:space="preserve"> y f</w:t>
      </w:r>
      <w:r>
        <w:rPr>
          <w:rFonts w:ascii="Arial" w:hAnsi="Arial" w:cs="Arial"/>
          <w:vertAlign w:val="subscript"/>
        </w:rPr>
        <w:t>j.</w:t>
      </w:r>
      <w:r>
        <w:rPr>
          <w:rFonts w:ascii="Arial" w:hAnsi="Arial" w:cs="Arial"/>
        </w:rPr>
        <w:t xml:space="preserve"> pueden ser tomados como estimaciones de probabilidad, se puede definir ahora la hipótesis de independencia entre filas y columnas de la tabla de contingencia por f</w:t>
      </w:r>
      <w:r>
        <w:rPr>
          <w:rFonts w:ascii="Arial" w:hAnsi="Arial" w:cs="Arial"/>
          <w:vertAlign w:val="subscript"/>
        </w:rPr>
        <w:t>ij</w:t>
      </w:r>
      <w:r>
        <w:rPr>
          <w:rFonts w:ascii="Arial" w:hAnsi="Arial" w:cs="Arial"/>
        </w:rPr>
        <w:t xml:space="preserve"> = f</w:t>
      </w:r>
      <w:r>
        <w:rPr>
          <w:rFonts w:ascii="Arial" w:hAnsi="Arial" w:cs="Arial"/>
          <w:vertAlign w:val="subscript"/>
        </w:rPr>
        <w:t>i.</w:t>
      </w:r>
      <w:r>
        <w:rPr>
          <w:rFonts w:ascii="Arial" w:hAnsi="Arial" w:cs="Arial"/>
        </w:rPr>
        <w:t>f</w:t>
      </w:r>
      <w:r>
        <w:rPr>
          <w:rFonts w:ascii="Arial" w:hAnsi="Arial" w:cs="Arial"/>
          <w:vertAlign w:val="subscript"/>
        </w:rPr>
        <w:t>.j</w:t>
      </w:r>
      <w:r>
        <w:rPr>
          <w:rFonts w:ascii="Arial" w:hAnsi="Arial" w:cs="Arial"/>
        </w:rPr>
        <w:t>, admitiendo q</w:t>
      </w:r>
      <w:r>
        <w:rPr>
          <w:rFonts w:ascii="Arial" w:hAnsi="Arial" w:cs="Arial"/>
        </w:rPr>
        <w:t xml:space="preserve">ue para tamaños grandes K la correspondencia sigue una distribución asintótica </w:t>
      </w:r>
      <w:r>
        <w:rPr>
          <w:rFonts w:ascii="Arial" w:hAnsi="Arial" w:cs="Arial"/>
        </w:rPr>
        <w:t></w:t>
      </w:r>
      <w:r>
        <w:rPr>
          <w:rFonts w:ascii="Arial" w:hAnsi="Arial" w:cs="Arial"/>
          <w:vertAlign w:val="superscript"/>
        </w:rPr>
        <w:t>2</w:t>
      </w:r>
      <w:r>
        <w:rPr>
          <w:rFonts w:ascii="Arial" w:hAnsi="Arial" w:cs="Arial"/>
        </w:rPr>
        <w:t xml:space="preserve"> con (n-1).(p-1) grados de libertad. Obteniendo el estadístico de contrate correspondiente al operar: </w:t>
      </w:r>
    </w:p>
    <w:p w:rsidR="00000000" w:rsidRDefault="00221239">
      <w:pPr>
        <w:pStyle w:val="NormalWeb"/>
        <w:ind w:left="15" w:firstLine="708"/>
        <w:jc w:val="center"/>
      </w:pPr>
      <w:r>
        <w:rPr>
          <w:noProof/>
          <w:lang w:val="es-ES" w:eastAsia="es-ES"/>
        </w:rPr>
        <w:drawing>
          <wp:inline distT="0" distB="0" distL="0" distR="0">
            <wp:extent cx="4133215" cy="636270"/>
            <wp:effectExtent l="19050" t="0" r="635" b="0"/>
            <wp:docPr id="120" name="Imagen 1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8"/>
                    <pic:cNvPicPr>
                      <a:picLocks noChangeAspect="1" noChangeArrowheads="1"/>
                    </pic:cNvPicPr>
                  </pic:nvPicPr>
                  <pic:blipFill>
                    <a:blip r:embed="rId237"/>
                    <a:srcRect/>
                    <a:stretch>
                      <a:fillRect/>
                    </a:stretch>
                  </pic:blipFill>
                  <pic:spPr bwMode="auto">
                    <a:xfrm>
                      <a:off x="0" y="0"/>
                      <a:ext cx="4133215" cy="636270"/>
                    </a:xfrm>
                    <a:prstGeom prst="rect">
                      <a:avLst/>
                    </a:prstGeom>
                    <a:noFill/>
                    <a:ln w="9525">
                      <a:noFill/>
                      <a:miter lim="800000"/>
                      <a:headEnd/>
                      <a:tailEnd/>
                    </a:ln>
                  </pic:spPr>
                </pic:pic>
              </a:graphicData>
            </a:graphic>
          </wp:inline>
        </w:drawing>
      </w:r>
    </w:p>
    <w:p w:rsidR="00000000" w:rsidRDefault="00BC67ED">
      <w:pPr>
        <w:pStyle w:val="NormalWeb"/>
        <w:spacing w:line="480" w:lineRule="auto"/>
        <w:ind w:left="723"/>
        <w:jc w:val="both"/>
        <w:rPr>
          <w:rFonts w:ascii="Arial" w:hAnsi="Arial" w:cs="Arial"/>
        </w:rPr>
      </w:pPr>
      <w:r>
        <w:rPr>
          <w:rFonts w:ascii="Arial" w:hAnsi="Arial" w:cs="Arial"/>
        </w:rPr>
        <w:t>Asumiendo de esta forma que el contraste de independencia habitual equivale a la igualdad de todos los valores propios a cero, lo cual comprobamos con la obtención d</w:t>
      </w:r>
      <w:r>
        <w:rPr>
          <w:rFonts w:ascii="Arial" w:hAnsi="Arial" w:cs="Arial"/>
        </w:rPr>
        <w:t xml:space="preserve">el estadístico anterior, que podemos simplificar de la forma siguiente: </w:t>
      </w:r>
    </w:p>
    <w:p w:rsidR="00000000" w:rsidRDefault="00221239">
      <w:pPr>
        <w:pStyle w:val="NormalWeb"/>
        <w:ind w:firstLine="708"/>
        <w:jc w:val="center"/>
      </w:pPr>
      <w:r>
        <w:rPr>
          <w:noProof/>
          <w:lang w:val="es-ES" w:eastAsia="es-ES"/>
        </w:rPr>
        <w:drawing>
          <wp:inline distT="0" distB="0" distL="0" distR="0">
            <wp:extent cx="3657600" cy="461010"/>
            <wp:effectExtent l="19050" t="0" r="0" b="0"/>
            <wp:docPr id="121" name="Imagen 1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9"/>
                    <pic:cNvPicPr>
                      <a:picLocks noChangeAspect="1" noChangeArrowheads="1"/>
                    </pic:cNvPicPr>
                  </pic:nvPicPr>
                  <pic:blipFill>
                    <a:blip r:embed="rId238"/>
                    <a:srcRect/>
                    <a:stretch>
                      <a:fillRect/>
                    </a:stretch>
                  </pic:blipFill>
                  <pic:spPr bwMode="auto">
                    <a:xfrm>
                      <a:off x="0" y="0"/>
                      <a:ext cx="3657600" cy="461010"/>
                    </a:xfrm>
                    <a:prstGeom prst="rect">
                      <a:avLst/>
                    </a:prstGeom>
                    <a:noFill/>
                    <a:ln w="9525">
                      <a:noFill/>
                      <a:miter lim="800000"/>
                      <a:headEnd/>
                      <a:tailEnd/>
                    </a:ln>
                  </pic:spPr>
                </pic:pic>
              </a:graphicData>
            </a:graphic>
          </wp:inline>
        </w:drawing>
      </w:r>
    </w:p>
    <w:p w:rsidR="00000000" w:rsidRDefault="00BC67ED" w:rsidP="00BC67ED">
      <w:pPr>
        <w:numPr>
          <w:ilvl w:val="2"/>
          <w:numId w:val="28"/>
        </w:numPr>
        <w:tabs>
          <w:tab w:val="clear" w:pos="2514"/>
        </w:tabs>
        <w:spacing w:line="480" w:lineRule="auto"/>
        <w:ind w:left="723" w:hanging="720"/>
        <w:jc w:val="both"/>
        <w:rPr>
          <w:rFonts w:ascii="Arial" w:hAnsi="Arial" w:cs="Arial"/>
          <w:b/>
        </w:rPr>
      </w:pPr>
      <w:r>
        <w:rPr>
          <w:rFonts w:ascii="Arial" w:hAnsi="Arial" w:cs="Arial"/>
          <w:b/>
          <w:bCs/>
        </w:rPr>
        <w:lastRenderedPageBreak/>
        <w:t>Proceso de datos: ti</w:t>
      </w:r>
      <w:r>
        <w:rPr>
          <w:rFonts w:ascii="Arial" w:hAnsi="Arial" w:cs="Arial"/>
          <w:b/>
          <w:bCs/>
        </w:rPr>
        <w:t>po de elementos.</w:t>
      </w:r>
    </w:p>
    <w:p w:rsidR="00000000" w:rsidRDefault="00BC67ED">
      <w:pPr>
        <w:pStyle w:val="NormalWeb"/>
        <w:spacing w:line="480" w:lineRule="auto"/>
        <w:ind w:left="723"/>
        <w:jc w:val="both"/>
        <w:rPr>
          <w:rFonts w:ascii="Arial" w:hAnsi="Arial" w:cs="Arial"/>
        </w:rPr>
      </w:pPr>
      <w:r>
        <w:rPr>
          <w:rFonts w:ascii="Arial" w:hAnsi="Arial" w:cs="Arial"/>
        </w:rPr>
        <w:t>El proceso de análisis de datos o método de estadística descriptiva multidimensional (Lebart et al., 1982), puede abordarse desde tres perspectivas, que no son contradictorias entre sí sino más bien complementarias en cuanto a los resultad</w:t>
      </w:r>
      <w:r>
        <w:rPr>
          <w:rFonts w:ascii="Arial" w:hAnsi="Arial" w:cs="Arial"/>
        </w:rPr>
        <w:t xml:space="preserve">os obtenidos: </w:t>
      </w:r>
    </w:p>
    <w:p w:rsidR="00000000" w:rsidRDefault="00BC67ED" w:rsidP="00BC67ED">
      <w:pPr>
        <w:pStyle w:val="NormalWeb"/>
        <w:numPr>
          <w:ilvl w:val="0"/>
          <w:numId w:val="32"/>
        </w:numPr>
        <w:tabs>
          <w:tab w:val="num" w:pos="1083"/>
        </w:tabs>
        <w:spacing w:line="480" w:lineRule="auto"/>
        <w:ind w:left="1083"/>
        <w:jc w:val="both"/>
        <w:rPr>
          <w:rFonts w:ascii="Arial" w:hAnsi="Arial" w:cs="Arial"/>
        </w:rPr>
      </w:pPr>
      <w:r>
        <w:rPr>
          <w:rFonts w:ascii="Arial" w:hAnsi="Arial" w:cs="Arial"/>
        </w:rPr>
        <w:t>Análisis de correspondencias con la obtención de los ejes factoriales y el porcentaje de variación explicada.</w:t>
      </w:r>
    </w:p>
    <w:p w:rsidR="00000000" w:rsidRDefault="00BC67ED" w:rsidP="00BC67ED">
      <w:pPr>
        <w:pStyle w:val="NormalWeb"/>
        <w:numPr>
          <w:ilvl w:val="0"/>
          <w:numId w:val="32"/>
        </w:numPr>
        <w:tabs>
          <w:tab w:val="num" w:pos="1083"/>
        </w:tabs>
        <w:spacing w:line="480" w:lineRule="auto"/>
        <w:ind w:left="1083"/>
        <w:jc w:val="both"/>
        <w:rPr>
          <w:rFonts w:ascii="Arial" w:hAnsi="Arial" w:cs="Arial"/>
        </w:rPr>
      </w:pPr>
      <w:r>
        <w:rPr>
          <w:rFonts w:ascii="Arial" w:hAnsi="Arial" w:cs="Arial"/>
        </w:rPr>
        <w:t xml:space="preserve">Clasificación jerárquica ascendente sobre las soluciones factoriales obtenidas de forma tal que es posible obtener un número menor </w:t>
      </w:r>
      <w:r>
        <w:rPr>
          <w:rFonts w:ascii="Arial" w:hAnsi="Arial" w:cs="Arial"/>
        </w:rPr>
        <w:t>de clases.</w:t>
      </w:r>
    </w:p>
    <w:p w:rsidR="00000000" w:rsidRDefault="00BC67ED" w:rsidP="00BC67ED">
      <w:pPr>
        <w:pStyle w:val="NormalWeb"/>
        <w:numPr>
          <w:ilvl w:val="0"/>
          <w:numId w:val="32"/>
        </w:numPr>
        <w:tabs>
          <w:tab w:val="num" w:pos="1083"/>
        </w:tabs>
        <w:spacing w:line="480" w:lineRule="auto"/>
        <w:ind w:left="1083"/>
        <w:jc w:val="both"/>
        <w:rPr>
          <w:rFonts w:ascii="Arial" w:hAnsi="Arial" w:cs="Arial"/>
        </w:rPr>
      </w:pPr>
      <w:r>
        <w:rPr>
          <w:rFonts w:ascii="Arial" w:hAnsi="Arial" w:cs="Arial"/>
        </w:rPr>
        <w:t>Caracterización de los grupos obtenidos por sus variables demográficas.</w:t>
      </w:r>
    </w:p>
    <w:p w:rsidR="00000000" w:rsidRDefault="00BC67ED">
      <w:pPr>
        <w:pStyle w:val="NormalWeb"/>
        <w:spacing w:line="480" w:lineRule="auto"/>
        <w:ind w:left="723"/>
        <w:jc w:val="both"/>
        <w:rPr>
          <w:rFonts w:ascii="Arial" w:hAnsi="Arial" w:cs="Arial"/>
        </w:rPr>
      </w:pPr>
      <w:r>
        <w:rPr>
          <w:rFonts w:ascii="Arial" w:hAnsi="Arial" w:cs="Arial"/>
        </w:rPr>
        <w:t xml:space="preserve">Los elementos que ayudan a determinar los planos factoriales se denominan </w:t>
      </w:r>
      <w:r>
        <w:rPr>
          <w:rFonts w:ascii="Arial" w:hAnsi="Arial" w:cs="Arial"/>
          <w:b/>
          <w:bCs/>
        </w:rPr>
        <w:t>activos</w:t>
      </w:r>
      <w:r>
        <w:rPr>
          <w:rFonts w:ascii="Arial" w:hAnsi="Arial" w:cs="Arial"/>
        </w:rPr>
        <w:t>, debiendo cumplir el principio de conjunto homogéneo (similar al análisis factorial). Los e</w:t>
      </w:r>
      <w:r>
        <w:rPr>
          <w:rFonts w:ascii="Arial" w:hAnsi="Arial" w:cs="Arial"/>
        </w:rPr>
        <w:t xml:space="preserve">lementos que forman parte del análisis "a posteriori", una vez determinados los ejes, se denominan elementos </w:t>
      </w:r>
      <w:r>
        <w:rPr>
          <w:rFonts w:ascii="Arial" w:hAnsi="Arial" w:cs="Arial"/>
          <w:b/>
          <w:bCs/>
        </w:rPr>
        <w:t>ilustrativos</w:t>
      </w:r>
      <w:r>
        <w:rPr>
          <w:rFonts w:ascii="Arial" w:hAnsi="Arial" w:cs="Arial"/>
        </w:rPr>
        <w:t xml:space="preserve"> y no es necesario el cumplimiento de homogeneidad. Esta distinción es similar a la mantenida en los modelos lineales entre variables e</w:t>
      </w:r>
      <w:r>
        <w:rPr>
          <w:rFonts w:ascii="Arial" w:hAnsi="Arial" w:cs="Arial"/>
        </w:rPr>
        <w:t xml:space="preserve">xógenas y endógenas, siendo equiparables desde un punto de vista geométrico, en la medida que </w:t>
      </w:r>
      <w:r>
        <w:rPr>
          <w:rFonts w:ascii="Arial" w:hAnsi="Arial" w:cs="Arial"/>
        </w:rPr>
        <w:lastRenderedPageBreak/>
        <w:t>las variables activas (exógenas) crean un subespacio acotado donde proyectar las variables ilustrativas (endógenas).</w:t>
      </w:r>
    </w:p>
    <w:p w:rsidR="00000000" w:rsidRDefault="00BC67ED">
      <w:pPr>
        <w:pStyle w:val="NormalWeb"/>
        <w:spacing w:line="480" w:lineRule="auto"/>
        <w:ind w:left="723"/>
        <w:jc w:val="both"/>
        <w:rPr>
          <w:rFonts w:ascii="Arial" w:hAnsi="Arial" w:cs="Arial"/>
        </w:rPr>
      </w:pPr>
      <w:r>
        <w:rPr>
          <w:rFonts w:ascii="Arial" w:hAnsi="Arial" w:cs="Arial"/>
        </w:rPr>
        <w:t>De todo lo dicho anteriormente, es posible ap</w:t>
      </w:r>
      <w:r>
        <w:rPr>
          <w:rFonts w:ascii="Arial" w:hAnsi="Arial" w:cs="Arial"/>
        </w:rPr>
        <w:t>licar dos métodos complementarios de análisis:</w:t>
      </w:r>
    </w:p>
    <w:p w:rsidR="00000000" w:rsidRDefault="00BC67ED" w:rsidP="00BC67ED">
      <w:pPr>
        <w:pStyle w:val="NormalWeb"/>
        <w:numPr>
          <w:ilvl w:val="0"/>
          <w:numId w:val="33"/>
        </w:numPr>
        <w:tabs>
          <w:tab w:val="clear" w:pos="1199"/>
          <w:tab w:val="num" w:pos="1922"/>
        </w:tabs>
        <w:spacing w:line="480" w:lineRule="auto"/>
        <w:ind w:left="1922"/>
        <w:jc w:val="both"/>
        <w:rPr>
          <w:rFonts w:ascii="Arial" w:hAnsi="Arial" w:cs="Arial"/>
        </w:rPr>
      </w:pPr>
      <w:r>
        <w:rPr>
          <w:rFonts w:ascii="Arial" w:hAnsi="Arial" w:cs="Arial"/>
        </w:rPr>
        <w:t>métodos factoriales, basados en el álgebra lineal, donde las proximidades entre los puntos indican asociación estadística (ej: Análisis de correspondencias).</w:t>
      </w:r>
    </w:p>
    <w:p w:rsidR="00000000" w:rsidRDefault="00BC67ED" w:rsidP="00BC67ED">
      <w:pPr>
        <w:pStyle w:val="NormalWeb"/>
        <w:numPr>
          <w:ilvl w:val="0"/>
          <w:numId w:val="33"/>
        </w:numPr>
        <w:tabs>
          <w:tab w:val="clear" w:pos="1199"/>
          <w:tab w:val="num" w:pos="1922"/>
        </w:tabs>
        <w:spacing w:line="480" w:lineRule="auto"/>
        <w:ind w:left="1922"/>
        <w:jc w:val="both"/>
        <w:rPr>
          <w:rFonts w:ascii="Arial" w:hAnsi="Arial" w:cs="Arial"/>
        </w:rPr>
      </w:pPr>
      <w:r>
        <w:rPr>
          <w:rFonts w:ascii="Arial" w:hAnsi="Arial" w:cs="Arial"/>
        </w:rPr>
        <w:t xml:space="preserve">métodos de clasificación, basados en la agrupación </w:t>
      </w:r>
      <w:r>
        <w:rPr>
          <w:rFonts w:ascii="Arial" w:hAnsi="Arial" w:cs="Arial"/>
        </w:rPr>
        <w:t xml:space="preserve">de clases de puntos. </w:t>
      </w:r>
    </w:p>
    <w:p w:rsidR="00000000" w:rsidRDefault="00BC67ED">
      <w:pPr>
        <w:spacing w:line="480" w:lineRule="auto"/>
        <w:ind w:left="1080"/>
        <w:jc w:val="both"/>
        <w:rPr>
          <w:rFonts w:ascii="Arial" w:hAnsi="Arial" w:cs="Arial"/>
          <w:b/>
        </w:rPr>
      </w:pPr>
    </w:p>
    <w:p w:rsidR="00000000" w:rsidRDefault="00BC67ED">
      <w:pPr>
        <w:spacing w:line="480" w:lineRule="auto"/>
        <w:ind w:left="1080"/>
        <w:jc w:val="both"/>
        <w:rPr>
          <w:rFonts w:ascii="Arial" w:hAnsi="Arial" w:cs="Arial"/>
          <w:b/>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rPr>
          <w:rFonts w:ascii="Arial" w:hAnsi="Arial" w:cs="Arial"/>
          <w:b/>
          <w:color w:val="000000"/>
        </w:rPr>
      </w:pPr>
    </w:p>
    <w:p w:rsidR="00000000" w:rsidRDefault="00BC67ED">
      <w:pPr>
        <w:pStyle w:val="NormalWeb"/>
        <w:jc w:val="center"/>
        <w:sectPr w:rsidR="00000000">
          <w:headerReference w:type="default" r:id="rId239"/>
          <w:headerReference w:type="first" r:id="rId240"/>
          <w:pgSz w:w="11907" w:h="16840" w:code="9"/>
          <w:pgMar w:top="2268" w:right="1361" w:bottom="2268" w:left="2268" w:header="737" w:footer="851" w:gutter="0"/>
          <w:pgNumType w:start="55"/>
          <w:cols w:space="708"/>
          <w:titlePg/>
          <w:docGrid w:linePitch="360"/>
        </w:sect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rPr>
      </w:pPr>
    </w:p>
    <w:p w:rsidR="00000000" w:rsidRDefault="00BC67ED">
      <w:pPr>
        <w:ind w:left="902"/>
        <w:jc w:val="center"/>
        <w:rPr>
          <w:b/>
          <w:spacing w:val="20"/>
          <w:sz w:val="48"/>
          <w:szCs w:val="48"/>
        </w:rPr>
      </w:pPr>
      <w:r>
        <w:rPr>
          <w:b/>
          <w:spacing w:val="20"/>
          <w:sz w:val="48"/>
          <w:szCs w:val="48"/>
        </w:rPr>
        <w:t>CAPITULO III</w:t>
      </w:r>
    </w:p>
    <w:p w:rsidR="00000000" w:rsidRDefault="00BC67ED">
      <w:pPr>
        <w:ind w:left="902"/>
        <w:jc w:val="center"/>
        <w:rPr>
          <w:rFonts w:ascii="Arial" w:hAnsi="Arial" w:cs="Arial"/>
          <w:b/>
        </w:rPr>
      </w:pPr>
    </w:p>
    <w:p w:rsidR="00000000" w:rsidRDefault="00BC67ED">
      <w:pPr>
        <w:ind w:left="902"/>
        <w:jc w:val="center"/>
        <w:rPr>
          <w:rFonts w:ascii="Arial" w:hAnsi="Arial" w:cs="Arial"/>
          <w:b/>
        </w:rPr>
      </w:pPr>
    </w:p>
    <w:p w:rsidR="00000000" w:rsidRDefault="00BC67ED">
      <w:pPr>
        <w:ind w:left="902"/>
        <w:jc w:val="center"/>
        <w:rPr>
          <w:rFonts w:ascii="Arial" w:hAnsi="Arial" w:cs="Arial"/>
          <w:b/>
        </w:rPr>
      </w:pPr>
    </w:p>
    <w:p w:rsidR="00000000" w:rsidRDefault="00BC67ED">
      <w:pPr>
        <w:ind w:left="902"/>
        <w:jc w:val="center"/>
        <w:rPr>
          <w:rFonts w:ascii="Arial" w:hAnsi="Arial" w:cs="Arial"/>
          <w:b/>
        </w:rPr>
      </w:pPr>
    </w:p>
    <w:p w:rsidR="00000000" w:rsidRDefault="00BC67ED" w:rsidP="00BC67ED">
      <w:pPr>
        <w:numPr>
          <w:ilvl w:val="0"/>
          <w:numId w:val="36"/>
        </w:numPr>
        <w:tabs>
          <w:tab w:val="clear" w:pos="360"/>
          <w:tab w:val="num" w:pos="540"/>
        </w:tabs>
        <w:ind w:left="540" w:hanging="540"/>
        <w:jc w:val="both"/>
        <w:rPr>
          <w:b/>
          <w:spacing w:val="20"/>
          <w:sz w:val="32"/>
          <w:szCs w:val="32"/>
        </w:rPr>
      </w:pPr>
      <w:r>
        <w:rPr>
          <w:b/>
          <w:spacing w:val="20"/>
          <w:sz w:val="32"/>
          <w:szCs w:val="32"/>
        </w:rPr>
        <w:t>ANÁLISIS ESTADÍSTICO UNIVARIADO</w:t>
      </w:r>
    </w:p>
    <w:p w:rsidR="00000000" w:rsidRDefault="00BC67ED">
      <w:pPr>
        <w:ind w:left="900"/>
        <w:jc w:val="both"/>
        <w:rPr>
          <w:rFonts w:ascii="Arial" w:hAnsi="Arial" w:cs="Arial"/>
        </w:rPr>
      </w:pPr>
    </w:p>
    <w:p w:rsidR="00000000" w:rsidRDefault="00BC67ED">
      <w:pPr>
        <w:spacing w:line="480" w:lineRule="auto"/>
        <w:ind w:left="540"/>
        <w:jc w:val="both"/>
        <w:rPr>
          <w:rFonts w:ascii="Arial" w:hAnsi="Arial" w:cs="Arial"/>
        </w:rPr>
      </w:pPr>
      <w:r>
        <w:rPr>
          <w:rFonts w:ascii="Arial" w:hAnsi="Arial" w:cs="Arial"/>
        </w:rPr>
        <w:t>En este capitulo presentamos la estadística descriptiva del conjunto de datos de las variables que mencionamos en el capitulo anterior. Estas variables son considerad</w:t>
      </w:r>
      <w:r>
        <w:rPr>
          <w:rFonts w:ascii="Arial" w:hAnsi="Arial" w:cs="Arial"/>
        </w:rPr>
        <w:t xml:space="preserve">as de mucha importancia en la investigación que se esta desarrollando, la selección de este conjunto de variables lo hicimos basándonos en el criterio objetivo y fundamentado de un experto en este campo.  </w:t>
      </w:r>
    </w:p>
    <w:p w:rsidR="00000000" w:rsidRDefault="00BC67ED">
      <w:pPr>
        <w:spacing w:line="480" w:lineRule="auto"/>
        <w:ind w:left="540"/>
        <w:jc w:val="both"/>
        <w:rPr>
          <w:rFonts w:ascii="Arial" w:hAnsi="Arial" w:cs="Arial"/>
        </w:rPr>
      </w:pPr>
      <w:r>
        <w:rPr>
          <w:rFonts w:ascii="Arial" w:hAnsi="Arial" w:cs="Arial"/>
        </w:rPr>
        <w:t xml:space="preserve">En este análisis, para las variables consideradas </w:t>
      </w:r>
      <w:r>
        <w:rPr>
          <w:rFonts w:ascii="Arial" w:hAnsi="Arial" w:cs="Arial"/>
        </w:rPr>
        <w:t>se presentan las correspondientes medidas de tendencia central, dispersión, sesgo y curtosis; a las variables continuas se les realiza además una prueba de bondad de ajuste, utilizando el método de Kolmogorov-Smirnov.</w:t>
      </w:r>
    </w:p>
    <w:p w:rsidR="00000000" w:rsidRDefault="00BC67ED">
      <w:pPr>
        <w:spacing w:line="480" w:lineRule="auto"/>
        <w:ind w:left="540"/>
        <w:jc w:val="both"/>
        <w:rPr>
          <w:rFonts w:ascii="Arial" w:hAnsi="Arial" w:cs="Arial"/>
        </w:rPr>
      </w:pPr>
      <w:r>
        <w:rPr>
          <w:rFonts w:ascii="Arial" w:hAnsi="Arial" w:cs="Arial"/>
        </w:rPr>
        <w:t>En esta sección se analizan las caract</w:t>
      </w:r>
      <w:r>
        <w:rPr>
          <w:rFonts w:ascii="Arial" w:hAnsi="Arial" w:cs="Arial"/>
        </w:rPr>
        <w:t>erísticas de orden personal de los pacientes de SOLCA en la ciudad de Guayaquil desde al año 2000 al año 2004, que presentan signos peligrosos de cáncer de esófago.</w:t>
      </w:r>
    </w:p>
    <w:p w:rsidR="00000000" w:rsidRDefault="00BC67ED" w:rsidP="00BC67ED">
      <w:pPr>
        <w:numPr>
          <w:ilvl w:val="1"/>
          <w:numId w:val="30"/>
        </w:numPr>
        <w:tabs>
          <w:tab w:val="clear" w:pos="1797"/>
          <w:tab w:val="num" w:pos="720"/>
        </w:tabs>
        <w:spacing w:line="480" w:lineRule="auto"/>
        <w:ind w:left="720"/>
        <w:jc w:val="both"/>
        <w:rPr>
          <w:rFonts w:ascii="Arial" w:hAnsi="Arial" w:cs="Arial"/>
          <w:b/>
          <w:spacing w:val="20"/>
        </w:rPr>
        <w:sectPr w:rsidR="00000000">
          <w:headerReference w:type="first" r:id="rId241"/>
          <w:pgSz w:w="11907" w:h="16840" w:code="9"/>
          <w:pgMar w:top="2268" w:right="1361" w:bottom="2268" w:left="2268" w:header="737" w:footer="851" w:gutter="0"/>
          <w:pgNumType w:start="54"/>
          <w:cols w:space="708"/>
          <w:titlePg/>
          <w:docGrid w:linePitch="360"/>
        </w:sectP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spacing w:val="20"/>
        </w:rPr>
        <w:lastRenderedPageBreak/>
        <w:t>Información Personal</w:t>
      </w:r>
    </w:p>
    <w:p w:rsidR="00000000" w:rsidRDefault="00BC67ED">
      <w:pPr>
        <w:spacing w:line="480" w:lineRule="auto"/>
        <w:ind w:left="342"/>
        <w:jc w:val="both"/>
        <w:rPr>
          <w:rFonts w:ascii="Arial" w:hAnsi="Arial" w:cs="Arial"/>
        </w:rPr>
      </w:pPr>
    </w:p>
    <w:p w:rsidR="00000000" w:rsidRDefault="00BC67ED">
      <w:pPr>
        <w:spacing w:line="480" w:lineRule="auto"/>
        <w:ind w:left="723"/>
        <w:jc w:val="both"/>
        <w:rPr>
          <w:rFonts w:ascii="Arial" w:hAnsi="Arial" w:cs="Arial"/>
          <w:b/>
          <w:i/>
        </w:rPr>
      </w:pPr>
      <w:r>
        <w:rPr>
          <w:rFonts w:ascii="Arial" w:hAnsi="Arial" w:cs="Arial"/>
          <w:b/>
          <w:i/>
        </w:rPr>
        <w:t>Variable # 1: Género del paciente</w:t>
      </w:r>
    </w:p>
    <w:p w:rsidR="00000000" w:rsidRDefault="00BC67ED">
      <w:pPr>
        <w:spacing w:line="480" w:lineRule="auto"/>
        <w:ind w:left="723"/>
        <w:jc w:val="both"/>
        <w:rPr>
          <w:rFonts w:ascii="Arial" w:hAnsi="Arial" w:cs="Arial"/>
        </w:rPr>
      </w:pPr>
      <w:r>
        <w:rPr>
          <w:rFonts w:ascii="Arial" w:hAnsi="Arial" w:cs="Arial"/>
        </w:rPr>
        <w:t>Como podemos observar en la figura</w:t>
      </w:r>
      <w:r>
        <w:rPr>
          <w:rFonts w:ascii="Arial" w:hAnsi="Arial" w:cs="Arial"/>
        </w:rPr>
        <w:t xml:space="preserve"> 3-1, la mayor parte de los pacientes que se han realizado los exámenes han sido de sexo femenino, el 31.7% de dichos pacientes son hombres, y el 68.3% restantes pertenecen al sexo femenino</w:t>
      </w:r>
    </w:p>
    <w:p w:rsidR="00000000" w:rsidRDefault="00BC67ED">
      <w:pPr>
        <w:spacing w:line="360" w:lineRule="auto"/>
        <w:ind w:left="545"/>
        <w:jc w:val="center"/>
        <w:rPr>
          <w:rFonts w:ascii="Arial" w:hAnsi="Arial" w:cs="Arial"/>
          <w:b/>
        </w:rPr>
      </w:pPr>
    </w:p>
    <w:p w:rsidR="00000000" w:rsidRDefault="00BC67ED">
      <w:pPr>
        <w:spacing w:line="360" w:lineRule="auto"/>
        <w:ind w:left="708"/>
        <w:jc w:val="center"/>
        <w:rPr>
          <w:rFonts w:ascii="Arial" w:hAnsi="Arial" w:cs="Arial"/>
          <w:b/>
        </w:rPr>
      </w:pPr>
      <w:r>
        <w:rPr>
          <w:rFonts w:ascii="Arial" w:hAnsi="Arial" w:cs="Arial"/>
          <w:b/>
        </w:rPr>
        <w:t>FIGURA 3-1</w:t>
      </w:r>
    </w:p>
    <w:p w:rsidR="00000000" w:rsidRDefault="00BC67ED">
      <w:pPr>
        <w:ind w:left="708"/>
        <w:jc w:val="center"/>
        <w:rPr>
          <w:rFonts w:ascii="Arial" w:hAnsi="Arial" w:cs="Arial"/>
          <w:b/>
        </w:rPr>
      </w:pPr>
      <w:r>
        <w:rPr>
          <w:rFonts w:ascii="Arial" w:hAnsi="Arial" w:cs="Arial"/>
          <w:b/>
        </w:rPr>
        <w:t>HISTOGRAMA DE FRECUENCIA DEL GÉNERO</w:t>
      </w:r>
    </w:p>
    <w:p w:rsidR="00000000" w:rsidRDefault="00BC67ED">
      <w:pPr>
        <w:ind w:left="708"/>
        <w:jc w:val="center"/>
        <w:rPr>
          <w:rFonts w:ascii="Arial" w:hAnsi="Arial" w:cs="Arial"/>
          <w:b/>
        </w:rPr>
      </w:pPr>
      <w:r>
        <w:rPr>
          <w:rFonts w:ascii="Arial" w:hAnsi="Arial" w:cs="Arial"/>
          <w:b/>
        </w:rPr>
        <w:t>(Cáncer de Esófago</w:t>
      </w:r>
      <w:r>
        <w:rPr>
          <w:rFonts w:ascii="Arial" w:hAnsi="Arial" w:cs="Arial"/>
          <w:b/>
        </w:rPr>
        <w:t>)</w:t>
      </w:r>
    </w:p>
    <w:p w:rsidR="00000000" w:rsidRDefault="00BC67ED">
      <w:pPr>
        <w:ind w:left="545"/>
        <w:jc w:val="center"/>
        <w:rPr>
          <w:rFonts w:ascii="Arial" w:hAnsi="Arial" w:cs="Arial"/>
          <w:b/>
        </w:rPr>
      </w:pPr>
    </w:p>
    <w:p w:rsidR="00000000" w:rsidRDefault="00221239">
      <w:pPr>
        <w:spacing w:line="360" w:lineRule="auto"/>
        <w:ind w:left="708"/>
        <w:jc w:val="center"/>
      </w:pPr>
      <w:r>
        <w:rPr>
          <w:noProof/>
          <w:lang w:val="es-ES" w:eastAsia="es-ES"/>
        </w:rPr>
        <w:drawing>
          <wp:inline distT="0" distB="0" distL="0" distR="0">
            <wp:extent cx="4455160" cy="2750820"/>
            <wp:effectExtent l="0" t="0" r="0" b="0"/>
            <wp:docPr id="122" name="Objeto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lastRenderedPageBreak/>
        <w:t>A continuación se presenta la Tabla I, que nos muestra la frecuencia absoluta, la frecuencia absoluta relativa, la frecuencia acumulada absoluta y la frecuencia acumulada absoluta relativa de la variable género.</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 xml:space="preserve">TABLA </w:t>
      </w:r>
      <w:r>
        <w:rPr>
          <w:rFonts w:ascii="Arial" w:hAnsi="Arial" w:cs="Arial"/>
          <w:b/>
        </w:rPr>
        <w:t>I</w:t>
      </w:r>
    </w:p>
    <w:p w:rsidR="00000000" w:rsidRDefault="00BC67ED">
      <w:pPr>
        <w:ind w:left="545"/>
        <w:jc w:val="center"/>
        <w:rPr>
          <w:rFonts w:ascii="Arial" w:hAnsi="Arial" w:cs="Arial"/>
          <w:b/>
        </w:rPr>
      </w:pPr>
      <w:r>
        <w:rPr>
          <w:rFonts w:ascii="Arial" w:hAnsi="Arial" w:cs="Arial"/>
          <w:b/>
        </w:rPr>
        <w:t>VARIABLE GÉNERO</w:t>
      </w:r>
    </w:p>
    <w:p w:rsidR="00000000" w:rsidRDefault="00BC67ED">
      <w:pPr>
        <w:ind w:left="545"/>
        <w:jc w:val="center"/>
        <w:rPr>
          <w:rFonts w:ascii="Arial" w:hAnsi="Arial" w:cs="Arial"/>
          <w:b/>
        </w:rPr>
      </w:pPr>
      <w:r>
        <w:rPr>
          <w:rFonts w:ascii="Arial" w:hAnsi="Arial" w:cs="Arial"/>
          <w:b/>
        </w:rPr>
        <w:t>(Cáncer de Esófago)</w:t>
      </w:r>
    </w:p>
    <w:p w:rsidR="00000000" w:rsidRDefault="00BC67ED">
      <w:pPr>
        <w:ind w:left="545"/>
        <w:jc w:val="center"/>
        <w:rPr>
          <w:rFonts w:ascii="Arial" w:hAnsi="Arial" w:cs="Arial"/>
          <w:b/>
        </w:rPr>
      </w:pPr>
    </w:p>
    <w:p w:rsidR="00000000" w:rsidRDefault="00BC67ED">
      <w:pPr>
        <w:ind w:left="545"/>
        <w:jc w:val="center"/>
        <w:rPr>
          <w:rFonts w:ascii="Arial" w:hAnsi="Arial" w:cs="Arial"/>
          <w:b/>
        </w:rPr>
      </w:pPr>
    </w:p>
    <w:tbl>
      <w:tblPr>
        <w:tblW w:w="874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5"/>
        <w:gridCol w:w="740"/>
        <w:gridCol w:w="1300"/>
        <w:gridCol w:w="1455"/>
        <w:gridCol w:w="1980"/>
        <w:gridCol w:w="1980"/>
      </w:tblGrid>
      <w:tr w:rsidR="00000000">
        <w:trPr>
          <w:cantSplit/>
          <w:trHeight w:val="276"/>
        </w:trPr>
        <w:tc>
          <w:tcPr>
            <w:tcW w:w="1285"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7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3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455"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76"/>
        </w:trPr>
        <w:tc>
          <w:tcPr>
            <w:tcW w:w="1285" w:type="dxa"/>
            <w:vMerge/>
            <w:vAlign w:val="center"/>
          </w:tcPr>
          <w:p w:rsidR="00000000" w:rsidRDefault="00BC67ED">
            <w:pPr>
              <w:rPr>
                <w:rFonts w:ascii="Arial" w:hAnsi="Arial" w:cs="Arial"/>
                <w:i/>
                <w:iCs/>
                <w:sz w:val="20"/>
                <w:szCs w:val="20"/>
              </w:rPr>
            </w:pPr>
          </w:p>
        </w:tc>
        <w:tc>
          <w:tcPr>
            <w:tcW w:w="740" w:type="dxa"/>
            <w:vMerge/>
            <w:vAlign w:val="center"/>
          </w:tcPr>
          <w:p w:rsidR="00000000" w:rsidRDefault="00BC67ED">
            <w:pPr>
              <w:rPr>
                <w:rFonts w:ascii="Arial" w:hAnsi="Arial" w:cs="Arial"/>
                <w:i/>
                <w:iCs/>
                <w:sz w:val="20"/>
                <w:szCs w:val="20"/>
              </w:rPr>
            </w:pPr>
          </w:p>
        </w:tc>
        <w:tc>
          <w:tcPr>
            <w:tcW w:w="1300" w:type="dxa"/>
            <w:vMerge/>
            <w:vAlign w:val="center"/>
          </w:tcPr>
          <w:p w:rsidR="00000000" w:rsidRDefault="00BC67ED">
            <w:pPr>
              <w:rPr>
                <w:rFonts w:ascii="Arial" w:hAnsi="Arial" w:cs="Arial"/>
                <w:i/>
                <w:iCs/>
                <w:sz w:val="20"/>
                <w:szCs w:val="20"/>
              </w:rPr>
            </w:pPr>
          </w:p>
        </w:tc>
        <w:tc>
          <w:tcPr>
            <w:tcW w:w="1455"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r>
      <w:tr w:rsidR="00000000">
        <w:trPr>
          <w:trHeight w:val="255"/>
        </w:trPr>
        <w:tc>
          <w:tcPr>
            <w:tcW w:w="1285"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Femenino</w:t>
            </w:r>
          </w:p>
        </w:tc>
        <w:tc>
          <w:tcPr>
            <w:tcW w:w="74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300" w:type="dxa"/>
            <w:noWrap/>
            <w:vAlign w:val="bottom"/>
          </w:tcPr>
          <w:p w:rsidR="00000000" w:rsidRDefault="00BC67ED">
            <w:pPr>
              <w:jc w:val="center"/>
              <w:rPr>
                <w:rFonts w:ascii="Arial" w:hAnsi="Arial" w:cs="Arial"/>
                <w:i/>
                <w:sz w:val="20"/>
                <w:szCs w:val="20"/>
              </w:rPr>
            </w:pPr>
            <w:r>
              <w:rPr>
                <w:rFonts w:ascii="Arial" w:hAnsi="Arial" w:cs="Arial"/>
                <w:i/>
                <w:sz w:val="20"/>
                <w:szCs w:val="20"/>
              </w:rPr>
              <w:t>82</w:t>
            </w:r>
          </w:p>
        </w:tc>
        <w:tc>
          <w:tcPr>
            <w:tcW w:w="1455" w:type="dxa"/>
            <w:noWrap/>
            <w:vAlign w:val="bottom"/>
          </w:tcPr>
          <w:p w:rsidR="00000000" w:rsidRDefault="00BC67ED">
            <w:pPr>
              <w:jc w:val="center"/>
              <w:rPr>
                <w:rFonts w:ascii="Arial" w:hAnsi="Arial" w:cs="Arial"/>
                <w:i/>
                <w:sz w:val="20"/>
                <w:szCs w:val="20"/>
              </w:rPr>
            </w:pPr>
            <w:r>
              <w:rPr>
                <w:rFonts w:ascii="Arial" w:hAnsi="Arial" w:cs="Arial"/>
                <w:i/>
                <w:sz w:val="20"/>
                <w:szCs w:val="20"/>
              </w:rPr>
              <w:t>68,33%</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82</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68,33%</w:t>
            </w:r>
          </w:p>
        </w:tc>
      </w:tr>
      <w:tr w:rsidR="00000000">
        <w:trPr>
          <w:trHeight w:val="270"/>
        </w:trPr>
        <w:tc>
          <w:tcPr>
            <w:tcW w:w="1285"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Masculino</w:t>
            </w:r>
          </w:p>
        </w:tc>
        <w:tc>
          <w:tcPr>
            <w:tcW w:w="74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300" w:type="dxa"/>
            <w:noWrap/>
            <w:vAlign w:val="bottom"/>
          </w:tcPr>
          <w:p w:rsidR="00000000" w:rsidRDefault="00BC67ED">
            <w:pPr>
              <w:jc w:val="center"/>
              <w:rPr>
                <w:rFonts w:ascii="Arial" w:hAnsi="Arial" w:cs="Arial"/>
                <w:i/>
                <w:sz w:val="20"/>
                <w:szCs w:val="20"/>
              </w:rPr>
            </w:pPr>
            <w:r>
              <w:rPr>
                <w:rFonts w:ascii="Arial" w:hAnsi="Arial" w:cs="Arial"/>
                <w:i/>
                <w:sz w:val="20"/>
                <w:szCs w:val="20"/>
              </w:rPr>
              <w:t>38</w:t>
            </w:r>
          </w:p>
        </w:tc>
        <w:tc>
          <w:tcPr>
            <w:tcW w:w="1455" w:type="dxa"/>
            <w:noWrap/>
            <w:vAlign w:val="bottom"/>
          </w:tcPr>
          <w:p w:rsidR="00000000" w:rsidRDefault="00BC67ED">
            <w:pPr>
              <w:jc w:val="center"/>
              <w:rPr>
                <w:rFonts w:ascii="Arial" w:hAnsi="Arial" w:cs="Arial"/>
                <w:i/>
                <w:sz w:val="20"/>
                <w:szCs w:val="20"/>
              </w:rPr>
            </w:pPr>
            <w:r>
              <w:rPr>
                <w:rFonts w:ascii="Arial" w:hAnsi="Arial" w:cs="Arial"/>
                <w:i/>
                <w:sz w:val="20"/>
                <w:szCs w:val="20"/>
              </w:rPr>
              <w:t>31,67%</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firstLine="708"/>
        <w:jc w:val="center"/>
        <w:rPr>
          <w:rFonts w:ascii="Arial" w:hAnsi="Arial" w:cs="Arial"/>
          <w:b/>
        </w:rPr>
      </w:pPr>
    </w:p>
    <w:p w:rsidR="00000000" w:rsidRDefault="00BC67ED">
      <w:pPr>
        <w:spacing w:line="480" w:lineRule="auto"/>
        <w:ind w:left="339"/>
        <w:jc w:val="both"/>
        <w:rPr>
          <w:rFonts w:ascii="Arial" w:hAnsi="Arial" w:cs="Arial"/>
          <w:b/>
          <w:i/>
        </w:rPr>
      </w:pPr>
    </w:p>
    <w:p w:rsidR="00000000" w:rsidRDefault="00BC67ED">
      <w:pPr>
        <w:spacing w:line="480" w:lineRule="auto"/>
        <w:ind w:left="339"/>
        <w:jc w:val="both"/>
        <w:rPr>
          <w:rFonts w:ascii="Arial" w:hAnsi="Arial" w:cs="Arial"/>
          <w:b/>
          <w:i/>
        </w:rPr>
      </w:pPr>
    </w:p>
    <w:p w:rsidR="00000000" w:rsidRDefault="00BC67ED">
      <w:pPr>
        <w:spacing w:line="480" w:lineRule="auto"/>
        <w:ind w:left="339"/>
        <w:jc w:val="both"/>
        <w:rPr>
          <w:rFonts w:ascii="Arial" w:hAnsi="Arial" w:cs="Arial"/>
          <w:b/>
          <w:i/>
        </w:rPr>
      </w:pPr>
      <w:r>
        <w:rPr>
          <w:rFonts w:ascii="Arial" w:hAnsi="Arial" w:cs="Arial"/>
          <w:b/>
          <w:i/>
        </w:rPr>
        <w:t>Variable # 2: Edad</w:t>
      </w:r>
    </w:p>
    <w:p w:rsidR="00000000" w:rsidRDefault="00BC67ED">
      <w:pPr>
        <w:spacing w:line="480" w:lineRule="auto"/>
        <w:ind w:left="339"/>
        <w:jc w:val="both"/>
        <w:rPr>
          <w:rFonts w:ascii="Arial" w:hAnsi="Arial" w:cs="Arial"/>
        </w:rPr>
      </w:pPr>
    </w:p>
    <w:p w:rsidR="00000000" w:rsidRDefault="00BC67ED">
      <w:pPr>
        <w:spacing w:line="480" w:lineRule="auto"/>
        <w:ind w:left="339"/>
        <w:jc w:val="both"/>
        <w:rPr>
          <w:rFonts w:ascii="Arial" w:hAnsi="Arial" w:cs="Arial"/>
        </w:rPr>
      </w:pPr>
      <w:r>
        <w:rPr>
          <w:rFonts w:ascii="Arial" w:hAnsi="Arial" w:cs="Arial"/>
        </w:rPr>
        <w:t>Como podemos observar en la figura 3-2, la mayor parte de los pacientes que se han preocupado en hacerse chequeos  y la mayoría son las personas de 61 al 68 años d</w:t>
      </w:r>
      <w:r>
        <w:rPr>
          <w:rFonts w:ascii="Arial" w:hAnsi="Arial" w:cs="Arial"/>
        </w:rPr>
        <w:t>e edad los cuales representan un 26,7% de los pacientes, seguidos del 23,3% que son las personas de 53 a 60 años de edad y finalmente están las personas de 45 a 52 años y se nota una marcada preocupación de personas con menor edad que ya se están preocupan</w:t>
      </w:r>
      <w:r>
        <w:rPr>
          <w:rFonts w:ascii="Arial" w:hAnsi="Arial" w:cs="Arial"/>
        </w:rPr>
        <w:t>do y que asisten a chequeos.</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t xml:space="preserve">FIGURA 3-2 </w:t>
      </w:r>
    </w:p>
    <w:p w:rsidR="00000000" w:rsidRDefault="00BC67ED">
      <w:pPr>
        <w:ind w:firstLine="708"/>
        <w:jc w:val="center"/>
        <w:rPr>
          <w:rFonts w:ascii="Arial" w:hAnsi="Arial" w:cs="Arial"/>
          <w:b/>
        </w:rPr>
      </w:pPr>
      <w:r>
        <w:rPr>
          <w:rFonts w:ascii="Arial" w:hAnsi="Arial" w:cs="Arial"/>
          <w:b/>
        </w:rPr>
        <w:t>HISTOGRAMA DE FRECUENCIA PARA LA EDAD</w:t>
      </w:r>
    </w:p>
    <w:p w:rsidR="00000000" w:rsidRDefault="00BC67ED">
      <w:pPr>
        <w:ind w:firstLine="708"/>
        <w:jc w:val="center"/>
        <w:rPr>
          <w:rFonts w:ascii="Arial" w:hAnsi="Arial" w:cs="Arial"/>
          <w:b/>
        </w:rPr>
      </w:pPr>
      <w:r>
        <w:rPr>
          <w:rFonts w:ascii="Arial" w:hAnsi="Arial" w:cs="Arial"/>
          <w:b/>
        </w:rPr>
        <w:t>(Cáncer de Esófago)</w:t>
      </w:r>
    </w:p>
    <w:p w:rsidR="00000000" w:rsidRDefault="00221239">
      <w:pPr>
        <w:spacing w:line="360" w:lineRule="auto"/>
        <w:ind w:left="363" w:firstLine="345"/>
        <w:jc w:val="center"/>
      </w:pPr>
      <w:r>
        <w:rPr>
          <w:noProof/>
          <w:lang w:val="es-ES" w:eastAsia="es-ES"/>
        </w:rPr>
        <w:drawing>
          <wp:inline distT="0" distB="0" distL="0" distR="0">
            <wp:extent cx="4908550" cy="3496945"/>
            <wp:effectExtent l="0" t="0" r="0" b="0"/>
            <wp:docPr id="123" name="Objeto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000000" w:rsidRDefault="00BC67ED">
      <w:pPr>
        <w:spacing w:line="360" w:lineRule="auto"/>
        <w:ind w:left="3"/>
        <w:jc w:val="center"/>
      </w:pPr>
    </w:p>
    <w:p w:rsidR="00000000" w:rsidRDefault="00BC67ED">
      <w:pPr>
        <w:spacing w:line="480" w:lineRule="auto"/>
        <w:ind w:left="723"/>
        <w:jc w:val="both"/>
        <w:rPr>
          <w:rFonts w:ascii="Arial" w:hAnsi="Arial" w:cs="Arial"/>
        </w:rPr>
      </w:pPr>
      <w:r>
        <w:rPr>
          <w:rFonts w:ascii="Arial" w:hAnsi="Arial" w:cs="Arial"/>
        </w:rPr>
        <w:t>En la Tabla II, presentamos la estadística descriptiva de esta variable, tenemos que el valor de la media aritmética es de 0,5</w:t>
      </w:r>
      <w:r>
        <w:rPr>
          <w:rFonts w:ascii="Arial" w:hAnsi="Arial" w:cs="Arial"/>
        </w:rPr>
        <w:t>52.</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El sesgo de esta variable es -0.251, esto significa que la distribución de la variable esta sesgada negativamente, es decir que, la mayoría de los datos se encuentran ubicados hacia la izquierda de la media,   el valor negativo del sesgo nos permite c</w:t>
      </w:r>
      <w:r>
        <w:rPr>
          <w:rFonts w:ascii="Arial" w:hAnsi="Arial" w:cs="Arial"/>
        </w:rPr>
        <w:t>oncluir que la mayor parte de los datos se encuentran a la derecha de la media.</w:t>
      </w:r>
    </w:p>
    <w:p w:rsidR="00000000" w:rsidRDefault="00BC67ED">
      <w:pPr>
        <w:spacing w:line="480" w:lineRule="auto"/>
        <w:ind w:left="723"/>
        <w:jc w:val="both"/>
        <w:rPr>
          <w:rFonts w:ascii="Arial" w:hAnsi="Arial" w:cs="Arial"/>
        </w:rPr>
      </w:pPr>
      <w:r>
        <w:rPr>
          <w:rFonts w:ascii="Arial" w:hAnsi="Arial" w:cs="Arial"/>
        </w:rPr>
        <w:lastRenderedPageBreak/>
        <w:t>La varianza de los datos de esta variable es de 127.068, lo cual nos indica que existe una alta variabilidad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el gráfico, la d</w:t>
      </w:r>
      <w:r>
        <w:rPr>
          <w:rFonts w:ascii="Arial" w:hAnsi="Arial" w:cs="Arial"/>
        </w:rPr>
        <w:t>istribución de esta variable no es simétrica. También podemos afirmar que con el 95% de confianza el valor de la media de esta variable se encontrara en el intervalo [57.23, 53.16]</w:t>
      </w:r>
    </w:p>
    <w:p w:rsidR="00000000" w:rsidRDefault="00BC67ED">
      <w:pPr>
        <w:spacing w:line="360" w:lineRule="auto"/>
        <w:ind w:left="545"/>
        <w:jc w:val="center"/>
        <w:rPr>
          <w:rFonts w:ascii="Arial" w:hAnsi="Arial" w:cs="Arial"/>
          <w:b/>
        </w:rPr>
      </w:pPr>
      <w:r>
        <w:rPr>
          <w:rFonts w:ascii="Arial" w:hAnsi="Arial" w:cs="Arial"/>
          <w:b/>
        </w:rPr>
        <w:t>TABLA II</w:t>
      </w:r>
    </w:p>
    <w:p w:rsidR="00000000" w:rsidRDefault="00BC67ED">
      <w:pPr>
        <w:ind w:left="545"/>
        <w:jc w:val="center"/>
        <w:rPr>
          <w:rFonts w:ascii="Arial" w:hAnsi="Arial" w:cs="Arial"/>
          <w:b/>
        </w:rPr>
      </w:pPr>
      <w:r>
        <w:rPr>
          <w:rFonts w:ascii="Arial" w:hAnsi="Arial" w:cs="Arial"/>
          <w:b/>
        </w:rPr>
        <w:t>ESTADISTICA DESCRIPTIVA DE LA EDAD</w:t>
      </w:r>
    </w:p>
    <w:p w:rsidR="00000000" w:rsidRDefault="00BC67ED">
      <w:pPr>
        <w:ind w:left="545"/>
        <w:jc w:val="center"/>
        <w:rPr>
          <w:rFonts w:ascii="Arial" w:hAnsi="Arial" w:cs="Arial"/>
          <w:b/>
        </w:rPr>
      </w:pPr>
      <w:r>
        <w:rPr>
          <w:rFonts w:ascii="Arial" w:hAnsi="Arial" w:cs="Arial"/>
          <w:b/>
        </w:rPr>
        <w:t>(Cáncer de Esófago)</w:t>
      </w:r>
    </w:p>
    <w:p w:rsidR="00000000" w:rsidRDefault="00BC67ED">
      <w:pPr>
        <w:ind w:left="545"/>
        <w:jc w:val="center"/>
        <w:rPr>
          <w:rFonts w:ascii="Arial" w:hAnsi="Arial" w:cs="Arial"/>
          <w:b/>
        </w:rPr>
      </w:pPr>
    </w:p>
    <w:tbl>
      <w:tblPr>
        <w:tblW w:w="4010"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88"/>
        <w:gridCol w:w="1622"/>
      </w:tblGrid>
      <w:tr w:rsidR="00000000">
        <w:trPr>
          <w:trHeight w:val="255"/>
        </w:trPr>
        <w:tc>
          <w:tcPr>
            <w:tcW w:w="2388" w:type="dxa"/>
            <w:noWrap/>
            <w:vAlign w:val="bottom"/>
          </w:tcPr>
          <w:p w:rsidR="00000000" w:rsidRDefault="00BC67ED">
            <w:pPr>
              <w:rPr>
                <w:rFonts w:ascii="Arial" w:hAnsi="Arial" w:cs="Arial"/>
              </w:rPr>
            </w:pPr>
            <w:r>
              <w:rPr>
                <w:rFonts w:ascii="Arial" w:hAnsi="Arial" w:cs="Arial"/>
              </w:rPr>
              <w:t>Media</w:t>
            </w:r>
          </w:p>
        </w:tc>
        <w:tc>
          <w:tcPr>
            <w:tcW w:w="1622" w:type="dxa"/>
            <w:noWrap/>
            <w:vAlign w:val="bottom"/>
          </w:tcPr>
          <w:p w:rsidR="00000000" w:rsidRDefault="00BC67ED">
            <w:pPr>
              <w:jc w:val="right"/>
              <w:rPr>
                <w:rFonts w:ascii="Arial" w:hAnsi="Arial" w:cs="Arial"/>
              </w:rPr>
            </w:pPr>
            <w:r>
              <w:rPr>
                <w:rFonts w:ascii="Arial" w:hAnsi="Arial" w:cs="Arial"/>
              </w:rPr>
              <w:t>55,2</w:t>
            </w:r>
          </w:p>
        </w:tc>
      </w:tr>
      <w:tr w:rsidR="00000000">
        <w:trPr>
          <w:trHeight w:val="255"/>
        </w:trPr>
        <w:tc>
          <w:tcPr>
            <w:tcW w:w="2388" w:type="dxa"/>
            <w:noWrap/>
            <w:vAlign w:val="bottom"/>
          </w:tcPr>
          <w:p w:rsidR="00000000" w:rsidRDefault="00BC67ED">
            <w:pPr>
              <w:rPr>
                <w:rFonts w:ascii="Arial" w:hAnsi="Arial" w:cs="Arial"/>
              </w:rPr>
            </w:pPr>
            <w:r>
              <w:rPr>
                <w:rFonts w:ascii="Arial" w:hAnsi="Arial" w:cs="Arial"/>
              </w:rPr>
              <w:t>Desviación estándar</w:t>
            </w:r>
          </w:p>
        </w:tc>
        <w:tc>
          <w:tcPr>
            <w:tcW w:w="1622" w:type="dxa"/>
            <w:noWrap/>
            <w:vAlign w:val="bottom"/>
          </w:tcPr>
          <w:p w:rsidR="00000000" w:rsidRDefault="00BC67ED">
            <w:pPr>
              <w:jc w:val="right"/>
              <w:rPr>
                <w:rFonts w:ascii="Arial" w:hAnsi="Arial" w:cs="Arial"/>
              </w:rPr>
            </w:pPr>
            <w:r>
              <w:rPr>
                <w:rFonts w:ascii="Arial" w:hAnsi="Arial" w:cs="Arial"/>
              </w:rPr>
              <w:t>11,272</w:t>
            </w:r>
          </w:p>
        </w:tc>
      </w:tr>
      <w:tr w:rsidR="00000000">
        <w:trPr>
          <w:trHeight w:val="255"/>
        </w:trPr>
        <w:tc>
          <w:tcPr>
            <w:tcW w:w="2388" w:type="dxa"/>
            <w:noWrap/>
            <w:vAlign w:val="bottom"/>
          </w:tcPr>
          <w:p w:rsidR="00000000" w:rsidRDefault="00BC67ED">
            <w:pPr>
              <w:rPr>
                <w:rFonts w:ascii="Arial" w:hAnsi="Arial" w:cs="Arial"/>
              </w:rPr>
            </w:pPr>
            <w:r>
              <w:rPr>
                <w:rFonts w:ascii="Arial" w:hAnsi="Arial" w:cs="Arial"/>
              </w:rPr>
              <w:t xml:space="preserve">Varianza </w:t>
            </w:r>
          </w:p>
        </w:tc>
        <w:tc>
          <w:tcPr>
            <w:tcW w:w="1622" w:type="dxa"/>
            <w:noWrap/>
            <w:vAlign w:val="bottom"/>
          </w:tcPr>
          <w:p w:rsidR="00000000" w:rsidRDefault="00BC67ED">
            <w:pPr>
              <w:jc w:val="right"/>
              <w:rPr>
                <w:rFonts w:ascii="Arial" w:hAnsi="Arial" w:cs="Arial"/>
              </w:rPr>
            </w:pPr>
            <w:r>
              <w:rPr>
                <w:rFonts w:ascii="Arial" w:hAnsi="Arial" w:cs="Arial"/>
              </w:rPr>
              <w:t>127,068</w:t>
            </w:r>
          </w:p>
        </w:tc>
      </w:tr>
      <w:tr w:rsidR="00000000">
        <w:trPr>
          <w:trHeight w:val="270"/>
        </w:trPr>
        <w:tc>
          <w:tcPr>
            <w:tcW w:w="2388" w:type="dxa"/>
            <w:noWrap/>
            <w:vAlign w:val="bottom"/>
          </w:tcPr>
          <w:p w:rsidR="00000000" w:rsidRDefault="00BC67ED">
            <w:pPr>
              <w:rPr>
                <w:rFonts w:ascii="Arial" w:hAnsi="Arial" w:cs="Arial"/>
              </w:rPr>
            </w:pPr>
            <w:r>
              <w:rPr>
                <w:rFonts w:ascii="Arial" w:hAnsi="Arial" w:cs="Arial"/>
              </w:rPr>
              <w:t>Sesgo</w:t>
            </w:r>
          </w:p>
        </w:tc>
        <w:tc>
          <w:tcPr>
            <w:tcW w:w="1622" w:type="dxa"/>
            <w:noWrap/>
            <w:vAlign w:val="bottom"/>
          </w:tcPr>
          <w:p w:rsidR="00000000" w:rsidRDefault="00BC67ED">
            <w:pPr>
              <w:jc w:val="right"/>
              <w:rPr>
                <w:rFonts w:ascii="Arial" w:hAnsi="Arial" w:cs="Arial"/>
              </w:rPr>
            </w:pPr>
            <w:r>
              <w:rPr>
                <w:rFonts w:ascii="Arial" w:hAnsi="Arial" w:cs="Arial"/>
              </w:rPr>
              <w:t>-0,2506</w:t>
            </w:r>
          </w:p>
        </w:tc>
      </w:tr>
      <w:tr w:rsidR="00000000">
        <w:trPr>
          <w:trHeight w:val="255"/>
        </w:trPr>
        <w:tc>
          <w:tcPr>
            <w:tcW w:w="2388"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622" w:type="dxa"/>
            <w:noWrap/>
            <w:vAlign w:val="bottom"/>
          </w:tcPr>
          <w:p w:rsidR="00000000" w:rsidRDefault="00BC67ED">
            <w:pPr>
              <w:jc w:val="right"/>
              <w:rPr>
                <w:rFonts w:ascii="Arial" w:hAnsi="Arial" w:cs="Arial"/>
              </w:rPr>
            </w:pPr>
            <w:r>
              <w:rPr>
                <w:rFonts w:ascii="Arial" w:hAnsi="Arial" w:cs="Arial"/>
              </w:rPr>
              <w:t>57.238</w:t>
            </w:r>
          </w:p>
        </w:tc>
      </w:tr>
      <w:tr w:rsidR="00000000">
        <w:trPr>
          <w:trHeight w:val="255"/>
        </w:trPr>
        <w:tc>
          <w:tcPr>
            <w:tcW w:w="2388" w:type="dxa"/>
            <w:noWrap/>
            <w:vAlign w:val="bottom"/>
          </w:tcPr>
          <w:p w:rsidR="00000000" w:rsidRDefault="00BC67ED">
            <w:pPr>
              <w:rPr>
                <w:rFonts w:ascii="Arial" w:hAnsi="Arial" w:cs="Arial"/>
              </w:rPr>
            </w:pPr>
            <w:r>
              <w:rPr>
                <w:rFonts w:ascii="Arial" w:hAnsi="Arial" w:cs="Arial"/>
              </w:rPr>
              <w:t>Limite Inferior</w:t>
            </w:r>
          </w:p>
        </w:tc>
        <w:tc>
          <w:tcPr>
            <w:tcW w:w="1622" w:type="dxa"/>
            <w:noWrap/>
            <w:vAlign w:val="bottom"/>
          </w:tcPr>
          <w:p w:rsidR="00000000" w:rsidRDefault="00BC67ED">
            <w:pPr>
              <w:jc w:val="right"/>
              <w:rPr>
                <w:rFonts w:ascii="Arial" w:hAnsi="Arial" w:cs="Arial"/>
              </w:rPr>
            </w:pPr>
            <w:r>
              <w:rPr>
                <w:rFonts w:ascii="Arial" w:hAnsi="Arial" w:cs="Arial"/>
              </w:rPr>
              <w:t>53.162</w:t>
            </w:r>
          </w:p>
        </w:tc>
      </w:tr>
    </w:tbl>
    <w:p w:rsidR="00000000" w:rsidRDefault="00BC67ED">
      <w:pPr>
        <w:spacing w:line="360" w:lineRule="auto"/>
        <w:ind w:left="3"/>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t>Hábitos</w:t>
      </w:r>
    </w:p>
    <w:p w:rsidR="00000000" w:rsidRDefault="00BC67ED">
      <w:pPr>
        <w:spacing w:line="480" w:lineRule="auto"/>
        <w:ind w:left="720"/>
        <w:jc w:val="both"/>
        <w:rPr>
          <w:rFonts w:ascii="Arial" w:hAnsi="Arial" w:cs="Arial"/>
          <w:b/>
          <w:i/>
        </w:rPr>
      </w:pPr>
      <w:r>
        <w:rPr>
          <w:rFonts w:ascii="Arial" w:hAnsi="Arial" w:cs="Arial"/>
          <w:b/>
          <w:i/>
        </w:rPr>
        <w:t>Variable # 3: Tabaco</w:t>
      </w:r>
    </w:p>
    <w:p w:rsidR="00000000" w:rsidRDefault="00BC67ED">
      <w:pPr>
        <w:spacing w:line="480" w:lineRule="auto"/>
        <w:ind w:left="723"/>
        <w:jc w:val="both"/>
        <w:rPr>
          <w:rFonts w:ascii="Arial" w:hAnsi="Arial" w:cs="Arial"/>
        </w:rPr>
      </w:pPr>
      <w:r>
        <w:rPr>
          <w:rFonts w:ascii="Arial" w:hAnsi="Arial" w:cs="Arial"/>
        </w:rPr>
        <w:t xml:space="preserve">Como podemos observar en la figura 3-3, la mayor parte de los pacientes que se han preocupado en hacerse </w:t>
      </w:r>
      <w:r>
        <w:rPr>
          <w:rFonts w:ascii="Arial" w:hAnsi="Arial" w:cs="Arial"/>
        </w:rPr>
        <w:t>chequeos en un 53% no posee este mal hábito mientras que en un 25% de pacientes lo frecuenta medianamente, constituyéndose así los estos dos porcentajes los más altos para esta variable, quedando un 13% de pacientes que lo hacen con baja frecuencia y 10% c</w:t>
      </w:r>
      <w:r>
        <w:rPr>
          <w:rFonts w:ascii="Arial" w:hAnsi="Arial" w:cs="Arial"/>
        </w:rPr>
        <w:t>on gran frecuencia.</w:t>
      </w: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3-3 </w:t>
      </w:r>
    </w:p>
    <w:p w:rsidR="00000000" w:rsidRDefault="00BC67ED">
      <w:pPr>
        <w:ind w:firstLine="708"/>
        <w:jc w:val="center"/>
        <w:rPr>
          <w:rFonts w:ascii="Arial" w:hAnsi="Arial" w:cs="Arial"/>
          <w:b/>
        </w:rPr>
      </w:pPr>
      <w:r>
        <w:rPr>
          <w:rFonts w:ascii="Arial" w:hAnsi="Arial" w:cs="Arial"/>
          <w:b/>
        </w:rPr>
        <w:t>HISTOGRAMA DE FRECUENCIA TABACO</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spacing w:line="360" w:lineRule="auto"/>
        <w:ind w:left="3"/>
        <w:jc w:val="center"/>
      </w:pPr>
    </w:p>
    <w:p w:rsidR="00000000" w:rsidRDefault="00221239">
      <w:pPr>
        <w:spacing w:line="360" w:lineRule="auto"/>
        <w:ind w:left="711" w:firstLine="12"/>
        <w:jc w:val="center"/>
      </w:pPr>
      <w:r>
        <w:rPr>
          <w:noProof/>
          <w:lang w:val="es-ES" w:eastAsia="es-ES"/>
        </w:rPr>
        <w:drawing>
          <wp:inline distT="0" distB="0" distL="0" distR="0">
            <wp:extent cx="4228465" cy="3445510"/>
            <wp:effectExtent l="0" t="0" r="0" b="0"/>
            <wp:docPr id="124" name="Objeto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000000" w:rsidRDefault="00BC67ED">
      <w:pPr>
        <w:spacing w:line="360" w:lineRule="auto"/>
        <w:ind w:left="3"/>
        <w:jc w:val="center"/>
      </w:pPr>
    </w:p>
    <w:p w:rsidR="00000000" w:rsidRDefault="00BC67ED">
      <w:pPr>
        <w:spacing w:line="480" w:lineRule="auto"/>
        <w:ind w:left="723"/>
        <w:jc w:val="both"/>
        <w:rPr>
          <w:rFonts w:ascii="Arial" w:hAnsi="Arial" w:cs="Arial"/>
        </w:rPr>
      </w:pPr>
      <w:r>
        <w:rPr>
          <w:rFonts w:ascii="Arial" w:hAnsi="Arial" w:cs="Arial"/>
        </w:rPr>
        <w:t>En la Tabla III, presentamos la estadística descriptiva de esta variable, tenemos que el valor de la media aritmética es de 1,025</w:t>
      </w:r>
    </w:p>
    <w:p w:rsidR="00000000" w:rsidRDefault="00BC67ED">
      <w:pPr>
        <w:spacing w:line="480" w:lineRule="auto"/>
        <w:ind w:left="723"/>
        <w:jc w:val="both"/>
        <w:rPr>
          <w:rFonts w:ascii="Arial" w:hAnsi="Arial" w:cs="Arial"/>
        </w:rPr>
      </w:pPr>
      <w:r>
        <w:rPr>
          <w:rFonts w:ascii="Arial" w:hAnsi="Arial" w:cs="Arial"/>
        </w:rPr>
        <w:t>El sesgo de</w:t>
      </w:r>
      <w:r>
        <w:rPr>
          <w:rFonts w:ascii="Arial" w:hAnsi="Arial" w:cs="Arial"/>
        </w:rPr>
        <w:t xml:space="preserve"> esta variable es -1.074, esto significa que la distribución de la variable esta sesgada positivamente.</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el gráfico, la distribución de esta variable no es simétrica. También podemos afirmar que con el 95% de confianza e</w:t>
      </w:r>
      <w:r>
        <w:rPr>
          <w:rFonts w:ascii="Arial" w:hAnsi="Arial" w:cs="Arial"/>
        </w:rPr>
        <w:t xml:space="preserve">l valor de la media aritmética de esta variable se </w:t>
      </w:r>
      <w:r>
        <w:rPr>
          <w:rFonts w:ascii="Arial" w:hAnsi="Arial" w:cs="Arial"/>
        </w:rPr>
        <w:lastRenderedPageBreak/>
        <w:t xml:space="preserve">encontrara en el intervalo [1,26, 0,79], el coeficiente de Curtosis es 0,1366 </w:t>
      </w:r>
    </w:p>
    <w:p w:rsidR="00000000" w:rsidRDefault="00BC67ED">
      <w:pPr>
        <w:spacing w:line="360" w:lineRule="auto"/>
        <w:ind w:left="3"/>
        <w:jc w:val="center"/>
      </w:pPr>
    </w:p>
    <w:p w:rsidR="00000000" w:rsidRDefault="00BC67ED">
      <w:pPr>
        <w:spacing w:line="360" w:lineRule="auto"/>
        <w:ind w:left="545"/>
        <w:jc w:val="center"/>
        <w:rPr>
          <w:rFonts w:ascii="Arial" w:hAnsi="Arial" w:cs="Arial"/>
          <w:b/>
        </w:rPr>
      </w:pPr>
      <w:r>
        <w:rPr>
          <w:rFonts w:ascii="Arial" w:hAnsi="Arial" w:cs="Arial"/>
          <w:b/>
        </w:rPr>
        <w:t>TABLA III</w:t>
      </w:r>
    </w:p>
    <w:p w:rsidR="00000000" w:rsidRDefault="00BC67ED">
      <w:pPr>
        <w:ind w:left="545"/>
        <w:jc w:val="center"/>
        <w:rPr>
          <w:rFonts w:ascii="Arial" w:hAnsi="Arial" w:cs="Arial"/>
          <w:b/>
        </w:rPr>
      </w:pPr>
      <w:r>
        <w:rPr>
          <w:rFonts w:ascii="Arial" w:hAnsi="Arial" w:cs="Arial"/>
          <w:b/>
        </w:rPr>
        <w:t>ESTADISTICA DESCRIPTIVA TABACO</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
        <w:jc w:val="center"/>
      </w:pPr>
    </w:p>
    <w:tbl>
      <w:tblPr>
        <w:tblW w:w="4270"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62"/>
        <w:gridCol w:w="1408"/>
      </w:tblGrid>
      <w:tr w:rsidR="00000000">
        <w:trPr>
          <w:trHeight w:val="255"/>
        </w:trPr>
        <w:tc>
          <w:tcPr>
            <w:tcW w:w="2862" w:type="dxa"/>
            <w:noWrap/>
            <w:vAlign w:val="bottom"/>
          </w:tcPr>
          <w:p w:rsidR="00000000" w:rsidRDefault="00BC67ED">
            <w:pPr>
              <w:rPr>
                <w:rFonts w:ascii="Arial" w:hAnsi="Arial" w:cs="Arial"/>
              </w:rPr>
            </w:pPr>
            <w:r>
              <w:rPr>
                <w:rFonts w:ascii="Arial" w:hAnsi="Arial" w:cs="Arial"/>
              </w:rPr>
              <w:t>Media</w:t>
            </w:r>
          </w:p>
        </w:tc>
        <w:tc>
          <w:tcPr>
            <w:tcW w:w="1408" w:type="dxa"/>
            <w:noWrap/>
            <w:vAlign w:val="bottom"/>
          </w:tcPr>
          <w:p w:rsidR="00000000" w:rsidRDefault="00BC67ED">
            <w:pPr>
              <w:jc w:val="right"/>
              <w:rPr>
                <w:rFonts w:ascii="Arial" w:hAnsi="Arial" w:cs="Arial"/>
              </w:rPr>
            </w:pPr>
            <w:r>
              <w:rPr>
                <w:rFonts w:ascii="Arial" w:hAnsi="Arial" w:cs="Arial"/>
              </w:rPr>
              <w:t>1,025</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Error típico</w:t>
            </w:r>
          </w:p>
        </w:tc>
        <w:tc>
          <w:tcPr>
            <w:tcW w:w="1408" w:type="dxa"/>
            <w:noWrap/>
            <w:vAlign w:val="bottom"/>
          </w:tcPr>
          <w:p w:rsidR="00000000" w:rsidRDefault="00BC67ED">
            <w:pPr>
              <w:jc w:val="right"/>
              <w:rPr>
                <w:rFonts w:ascii="Arial" w:hAnsi="Arial" w:cs="Arial"/>
              </w:rPr>
            </w:pPr>
            <w:r>
              <w:rPr>
                <w:rFonts w:ascii="Arial" w:hAnsi="Arial" w:cs="Arial"/>
              </w:rPr>
              <w:t>0,118</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Desviación estándar</w:t>
            </w:r>
          </w:p>
        </w:tc>
        <w:tc>
          <w:tcPr>
            <w:tcW w:w="1408" w:type="dxa"/>
            <w:noWrap/>
            <w:vAlign w:val="bottom"/>
          </w:tcPr>
          <w:p w:rsidR="00000000" w:rsidRDefault="00BC67ED">
            <w:pPr>
              <w:jc w:val="right"/>
              <w:rPr>
                <w:rFonts w:ascii="Arial" w:hAnsi="Arial" w:cs="Arial"/>
              </w:rPr>
            </w:pPr>
            <w:r>
              <w:rPr>
                <w:rFonts w:ascii="Arial" w:hAnsi="Arial" w:cs="Arial"/>
              </w:rPr>
              <w:t>1,299</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Var</w:t>
            </w:r>
            <w:r>
              <w:rPr>
                <w:rFonts w:ascii="Arial" w:hAnsi="Arial" w:cs="Arial"/>
              </w:rPr>
              <w:t xml:space="preserve">ianza </w:t>
            </w:r>
          </w:p>
        </w:tc>
        <w:tc>
          <w:tcPr>
            <w:tcW w:w="1408" w:type="dxa"/>
            <w:noWrap/>
            <w:vAlign w:val="bottom"/>
          </w:tcPr>
          <w:p w:rsidR="00000000" w:rsidRDefault="00BC67ED">
            <w:pPr>
              <w:jc w:val="right"/>
              <w:rPr>
                <w:rFonts w:ascii="Arial" w:hAnsi="Arial" w:cs="Arial"/>
              </w:rPr>
            </w:pPr>
            <w:r>
              <w:rPr>
                <w:rFonts w:ascii="Arial" w:hAnsi="Arial" w:cs="Arial"/>
              </w:rPr>
              <w:t>1,688</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Curtosis</w:t>
            </w:r>
          </w:p>
        </w:tc>
        <w:tc>
          <w:tcPr>
            <w:tcW w:w="1408" w:type="dxa"/>
            <w:noWrap/>
            <w:vAlign w:val="bottom"/>
          </w:tcPr>
          <w:p w:rsidR="00000000" w:rsidRDefault="00BC67ED">
            <w:pPr>
              <w:jc w:val="right"/>
              <w:rPr>
                <w:rFonts w:ascii="Arial" w:hAnsi="Arial" w:cs="Arial"/>
              </w:rPr>
            </w:pPr>
            <w:r>
              <w:rPr>
                <w:rFonts w:ascii="Arial" w:hAnsi="Arial" w:cs="Arial"/>
              </w:rPr>
              <w:t>0,136</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Sesgo</w:t>
            </w:r>
          </w:p>
        </w:tc>
        <w:tc>
          <w:tcPr>
            <w:tcW w:w="1408" w:type="dxa"/>
            <w:noWrap/>
            <w:vAlign w:val="bottom"/>
          </w:tcPr>
          <w:p w:rsidR="00000000" w:rsidRDefault="00BC67ED">
            <w:pPr>
              <w:jc w:val="right"/>
              <w:rPr>
                <w:rFonts w:ascii="Arial" w:hAnsi="Arial" w:cs="Arial"/>
              </w:rPr>
            </w:pPr>
            <w:r>
              <w:rPr>
                <w:rFonts w:ascii="Arial" w:hAnsi="Arial" w:cs="Arial"/>
              </w:rPr>
              <w:t>1,074</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408" w:type="dxa"/>
            <w:noWrap/>
            <w:vAlign w:val="bottom"/>
          </w:tcPr>
          <w:p w:rsidR="00000000" w:rsidRDefault="00BC67ED">
            <w:pPr>
              <w:jc w:val="right"/>
              <w:rPr>
                <w:rFonts w:ascii="Arial" w:hAnsi="Arial" w:cs="Arial"/>
              </w:rPr>
            </w:pPr>
            <w:r>
              <w:rPr>
                <w:rFonts w:ascii="Arial" w:hAnsi="Arial" w:cs="Arial"/>
                <w:lang w:val="es-ES_tradnl"/>
              </w:rPr>
              <w:t>1.26</w:t>
            </w:r>
          </w:p>
        </w:tc>
      </w:tr>
      <w:tr w:rsidR="00000000">
        <w:trPr>
          <w:trHeight w:val="255"/>
        </w:trPr>
        <w:tc>
          <w:tcPr>
            <w:tcW w:w="2862" w:type="dxa"/>
            <w:noWrap/>
            <w:vAlign w:val="bottom"/>
          </w:tcPr>
          <w:p w:rsidR="00000000" w:rsidRDefault="00BC67ED">
            <w:pPr>
              <w:rPr>
                <w:rFonts w:ascii="Arial" w:hAnsi="Arial" w:cs="Arial"/>
              </w:rPr>
            </w:pPr>
            <w:r>
              <w:rPr>
                <w:rFonts w:ascii="Arial" w:hAnsi="Arial" w:cs="Arial"/>
              </w:rPr>
              <w:t>Limite Inferior</w:t>
            </w:r>
          </w:p>
        </w:tc>
        <w:tc>
          <w:tcPr>
            <w:tcW w:w="1408" w:type="dxa"/>
            <w:noWrap/>
            <w:vAlign w:val="bottom"/>
          </w:tcPr>
          <w:p w:rsidR="00000000" w:rsidRDefault="00BC67ED">
            <w:pPr>
              <w:jc w:val="right"/>
              <w:rPr>
                <w:rFonts w:ascii="Arial" w:hAnsi="Arial" w:cs="Arial"/>
              </w:rPr>
            </w:pPr>
            <w:r>
              <w:rPr>
                <w:rFonts w:ascii="Arial" w:hAnsi="Arial" w:cs="Arial"/>
                <w:lang w:val="es-ES_tradnl"/>
              </w:rPr>
              <w:t>0.79</w:t>
            </w:r>
          </w:p>
        </w:tc>
      </w:tr>
    </w:tbl>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480" w:lineRule="auto"/>
        <w:ind w:left="720"/>
        <w:jc w:val="both"/>
        <w:rPr>
          <w:rFonts w:ascii="Arial" w:hAnsi="Arial" w:cs="Arial"/>
          <w:b/>
          <w:i/>
        </w:rPr>
      </w:pPr>
      <w:r>
        <w:rPr>
          <w:rFonts w:ascii="Arial" w:hAnsi="Arial" w:cs="Arial"/>
          <w:b/>
          <w:i/>
        </w:rPr>
        <w:t>Variable # 4: Alcohol</w:t>
      </w:r>
    </w:p>
    <w:p w:rsidR="00000000" w:rsidRDefault="00BC67ED">
      <w:pPr>
        <w:spacing w:line="480" w:lineRule="auto"/>
        <w:ind w:left="723"/>
        <w:jc w:val="both"/>
        <w:rPr>
          <w:rFonts w:ascii="Arial" w:hAnsi="Arial" w:cs="Arial"/>
        </w:rPr>
      </w:pPr>
      <w:r>
        <w:rPr>
          <w:rFonts w:ascii="Arial" w:hAnsi="Arial" w:cs="Arial"/>
        </w:rPr>
        <w:t>Como podemos observar en la figura 3-3, la mayor parte de los pacientes que se han preocupado en hacerse chequeos en un 53% no poseen e</w:t>
      </w:r>
      <w:r>
        <w:rPr>
          <w:rFonts w:ascii="Arial" w:hAnsi="Arial" w:cs="Arial"/>
        </w:rPr>
        <w:t>ste mal hábito mientras que en un 25% de pacientes lo consume levemente, existiendo un porcentaje preocupante del 18% de los pacientes que lo consume de una forma desmedida y que potencialmente son victimas de esta enfermedad.</w:t>
      </w: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3-4 </w:t>
      </w:r>
    </w:p>
    <w:p w:rsidR="00000000" w:rsidRDefault="00BC67ED">
      <w:pPr>
        <w:ind w:firstLine="708"/>
        <w:jc w:val="center"/>
        <w:rPr>
          <w:rFonts w:ascii="Arial" w:hAnsi="Arial" w:cs="Arial"/>
          <w:b/>
        </w:rPr>
      </w:pPr>
      <w:r>
        <w:rPr>
          <w:rFonts w:ascii="Arial" w:hAnsi="Arial" w:cs="Arial"/>
          <w:b/>
        </w:rPr>
        <w:t>HISTOGRAMA D</w:t>
      </w:r>
      <w:r>
        <w:rPr>
          <w:rFonts w:ascii="Arial" w:hAnsi="Arial" w:cs="Arial"/>
          <w:b/>
        </w:rPr>
        <w:t>E FRECUENCIA DEL ALCOHOL</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 w:firstLine="705"/>
        <w:jc w:val="center"/>
      </w:pPr>
      <w:r>
        <w:rPr>
          <w:noProof/>
          <w:lang w:val="es-ES" w:eastAsia="es-ES"/>
        </w:rPr>
        <w:drawing>
          <wp:inline distT="0" distB="0" distL="0" distR="0">
            <wp:extent cx="3840480" cy="2765425"/>
            <wp:effectExtent l="0" t="0" r="0" b="0"/>
            <wp:docPr id="125" name="Objeto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000000" w:rsidRDefault="00BC67ED">
      <w:pPr>
        <w:spacing w:line="360" w:lineRule="auto"/>
        <w:ind w:left="3"/>
        <w:jc w:val="cente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En la Tabla IV, presentamos la estadística descriptiva de esta variable, tenemos que el valor de la media aritmética es de 0,858</w:t>
      </w:r>
    </w:p>
    <w:p w:rsidR="00000000" w:rsidRDefault="00BC67ED">
      <w:pPr>
        <w:spacing w:line="480" w:lineRule="auto"/>
        <w:ind w:left="723"/>
        <w:jc w:val="both"/>
        <w:rPr>
          <w:rFonts w:ascii="Arial" w:hAnsi="Arial" w:cs="Arial"/>
        </w:rPr>
      </w:pPr>
      <w:r>
        <w:rPr>
          <w:rFonts w:ascii="Arial" w:hAnsi="Arial" w:cs="Arial"/>
        </w:rPr>
        <w:t>El sesgo de esta variable es 1.040, esto significa</w:t>
      </w:r>
      <w:r>
        <w:rPr>
          <w:rFonts w:ascii="Arial" w:hAnsi="Arial" w:cs="Arial"/>
        </w:rPr>
        <w:t xml:space="preserve"> que la distribución de la variable esta sesgada positivamente.</w:t>
      </w:r>
    </w:p>
    <w:p w:rsidR="00000000" w:rsidRDefault="00BC67ED">
      <w:pPr>
        <w:spacing w:line="480" w:lineRule="auto"/>
        <w:ind w:left="723"/>
        <w:jc w:val="both"/>
        <w:rPr>
          <w:rFonts w:ascii="Arial" w:hAnsi="Arial" w:cs="Arial"/>
        </w:rPr>
      </w:pPr>
      <w:r>
        <w:rPr>
          <w:rFonts w:ascii="Arial" w:hAnsi="Arial" w:cs="Arial"/>
        </w:rPr>
        <w:t>La varianza de los datos de esta variable es de 1,265, lo cual nos indica que existe una alta variabilidad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el gráfico, la distribución de est</w:t>
      </w:r>
      <w:r>
        <w:rPr>
          <w:rFonts w:ascii="Arial" w:hAnsi="Arial" w:cs="Arial"/>
        </w:rPr>
        <w:t xml:space="preserve">a variable no es simétrica. También podemos afirmar que con el 95% de confianza el valor de la media aritmética de esta variable se </w:t>
      </w:r>
      <w:r>
        <w:rPr>
          <w:rFonts w:ascii="Arial" w:hAnsi="Arial" w:cs="Arial"/>
        </w:rPr>
        <w:lastRenderedPageBreak/>
        <w:t xml:space="preserve">encontrara en el intervalo [1,06, 0,65], el coeficiente de Curtosis es -0,400. </w:t>
      </w:r>
    </w:p>
    <w:p w:rsidR="00000000" w:rsidRDefault="00BC67ED">
      <w:pPr>
        <w:spacing w:line="360" w:lineRule="auto"/>
        <w:ind w:left="3"/>
        <w:jc w:val="center"/>
      </w:pPr>
    </w:p>
    <w:p w:rsidR="00000000" w:rsidRDefault="00BC67ED">
      <w:pPr>
        <w:spacing w:line="360" w:lineRule="auto"/>
        <w:ind w:left="545"/>
        <w:jc w:val="center"/>
        <w:rPr>
          <w:rFonts w:ascii="Arial" w:hAnsi="Arial" w:cs="Arial"/>
          <w:b/>
        </w:rPr>
      </w:pPr>
      <w:r>
        <w:rPr>
          <w:rFonts w:ascii="Arial" w:hAnsi="Arial" w:cs="Arial"/>
          <w:b/>
        </w:rPr>
        <w:t>TABLA IV</w:t>
      </w:r>
    </w:p>
    <w:p w:rsidR="00000000" w:rsidRDefault="00BC67ED">
      <w:pPr>
        <w:ind w:left="545"/>
        <w:jc w:val="center"/>
        <w:rPr>
          <w:rFonts w:ascii="Arial" w:hAnsi="Arial" w:cs="Arial"/>
          <w:b/>
        </w:rPr>
      </w:pPr>
      <w:r>
        <w:rPr>
          <w:rFonts w:ascii="Arial" w:hAnsi="Arial" w:cs="Arial"/>
          <w:b/>
        </w:rPr>
        <w:t>ESTADISTICA DESCRIPTIVA DEL ALCOHO</w:t>
      </w:r>
      <w:r>
        <w:rPr>
          <w:rFonts w:ascii="Arial" w:hAnsi="Arial" w:cs="Arial"/>
          <w:b/>
        </w:rPr>
        <w:t>L</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
        <w:jc w:val="center"/>
      </w:pPr>
    </w:p>
    <w:tbl>
      <w:tblPr>
        <w:tblpPr w:leftFromText="141" w:rightFromText="141" w:vertAnchor="page" w:horzAnchor="page" w:tblpX="4719" w:tblpY="5329"/>
        <w:tblW w:w="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2"/>
        <w:gridCol w:w="1216"/>
      </w:tblGrid>
      <w:tr w:rsidR="00000000">
        <w:trPr>
          <w:trHeight w:val="300"/>
        </w:trPr>
        <w:tc>
          <w:tcPr>
            <w:tcW w:w="2802" w:type="dxa"/>
            <w:noWrap/>
            <w:vAlign w:val="bottom"/>
          </w:tcPr>
          <w:p w:rsidR="00000000" w:rsidRDefault="00BC67ED">
            <w:pPr>
              <w:rPr>
                <w:rFonts w:ascii="Arial" w:hAnsi="Arial" w:cs="Arial"/>
              </w:rPr>
            </w:pPr>
            <w:r>
              <w:rPr>
                <w:rFonts w:ascii="Arial" w:hAnsi="Arial" w:cs="Arial"/>
              </w:rPr>
              <w:t>Media</w:t>
            </w:r>
          </w:p>
        </w:tc>
        <w:tc>
          <w:tcPr>
            <w:tcW w:w="1216" w:type="dxa"/>
            <w:noWrap/>
            <w:vAlign w:val="bottom"/>
          </w:tcPr>
          <w:p w:rsidR="00000000" w:rsidRDefault="00BC67ED">
            <w:pPr>
              <w:jc w:val="right"/>
              <w:rPr>
                <w:rFonts w:ascii="Arial" w:hAnsi="Arial" w:cs="Arial"/>
              </w:rPr>
            </w:pPr>
            <w:r>
              <w:rPr>
                <w:rFonts w:ascii="Arial" w:hAnsi="Arial" w:cs="Arial"/>
              </w:rPr>
              <w:t>0,858</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Error típico</w:t>
            </w:r>
          </w:p>
        </w:tc>
        <w:tc>
          <w:tcPr>
            <w:tcW w:w="1216" w:type="dxa"/>
            <w:noWrap/>
            <w:vAlign w:val="bottom"/>
          </w:tcPr>
          <w:p w:rsidR="00000000" w:rsidRDefault="00BC67ED">
            <w:pPr>
              <w:jc w:val="right"/>
              <w:rPr>
                <w:rFonts w:ascii="Arial" w:hAnsi="Arial" w:cs="Arial"/>
              </w:rPr>
            </w:pPr>
            <w:r>
              <w:rPr>
                <w:rFonts w:ascii="Arial" w:hAnsi="Arial" w:cs="Arial"/>
              </w:rPr>
              <w:t>0,102</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Desviación estándar</w:t>
            </w:r>
          </w:p>
        </w:tc>
        <w:tc>
          <w:tcPr>
            <w:tcW w:w="1216" w:type="dxa"/>
            <w:noWrap/>
            <w:vAlign w:val="bottom"/>
          </w:tcPr>
          <w:p w:rsidR="00000000" w:rsidRDefault="00BC67ED">
            <w:pPr>
              <w:jc w:val="right"/>
              <w:rPr>
                <w:rFonts w:ascii="Arial" w:hAnsi="Arial" w:cs="Arial"/>
              </w:rPr>
            </w:pPr>
            <w:r>
              <w:rPr>
                <w:rFonts w:ascii="Arial" w:hAnsi="Arial" w:cs="Arial"/>
              </w:rPr>
              <w:t>1,124</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 xml:space="preserve">Varianza </w:t>
            </w:r>
          </w:p>
        </w:tc>
        <w:tc>
          <w:tcPr>
            <w:tcW w:w="1216" w:type="dxa"/>
            <w:noWrap/>
            <w:vAlign w:val="bottom"/>
          </w:tcPr>
          <w:p w:rsidR="00000000" w:rsidRDefault="00BC67ED">
            <w:pPr>
              <w:jc w:val="right"/>
              <w:rPr>
                <w:rFonts w:ascii="Arial" w:hAnsi="Arial" w:cs="Arial"/>
              </w:rPr>
            </w:pPr>
            <w:r>
              <w:rPr>
                <w:rFonts w:ascii="Arial" w:hAnsi="Arial" w:cs="Arial"/>
              </w:rPr>
              <w:t>1,265</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Curtosis</w:t>
            </w:r>
          </w:p>
        </w:tc>
        <w:tc>
          <w:tcPr>
            <w:tcW w:w="1216" w:type="dxa"/>
            <w:noWrap/>
            <w:vAlign w:val="bottom"/>
          </w:tcPr>
          <w:p w:rsidR="00000000" w:rsidRDefault="00BC67ED">
            <w:pPr>
              <w:jc w:val="right"/>
              <w:rPr>
                <w:rFonts w:ascii="Arial" w:hAnsi="Arial" w:cs="Arial"/>
              </w:rPr>
            </w:pPr>
            <w:r>
              <w:rPr>
                <w:rFonts w:ascii="Arial" w:hAnsi="Arial" w:cs="Arial"/>
              </w:rPr>
              <w:t>-0,400</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 xml:space="preserve">Sesgo </w:t>
            </w:r>
          </w:p>
        </w:tc>
        <w:tc>
          <w:tcPr>
            <w:tcW w:w="1216" w:type="dxa"/>
            <w:noWrap/>
            <w:vAlign w:val="bottom"/>
          </w:tcPr>
          <w:p w:rsidR="00000000" w:rsidRDefault="00BC67ED">
            <w:pPr>
              <w:jc w:val="right"/>
              <w:rPr>
                <w:rFonts w:ascii="Arial" w:hAnsi="Arial" w:cs="Arial"/>
              </w:rPr>
            </w:pPr>
            <w:r>
              <w:rPr>
                <w:rFonts w:ascii="Arial" w:hAnsi="Arial" w:cs="Arial"/>
              </w:rPr>
              <w:t>1,040</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216" w:type="dxa"/>
            <w:noWrap/>
            <w:vAlign w:val="bottom"/>
          </w:tcPr>
          <w:p w:rsidR="00000000" w:rsidRDefault="00BC67ED">
            <w:pPr>
              <w:jc w:val="right"/>
              <w:rPr>
                <w:rFonts w:ascii="Arial" w:hAnsi="Arial" w:cs="Arial"/>
              </w:rPr>
            </w:pPr>
            <w:r>
              <w:rPr>
                <w:rFonts w:ascii="Arial" w:hAnsi="Arial" w:cs="Arial"/>
              </w:rPr>
              <w:t>1.06</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Inferior</w:t>
            </w:r>
          </w:p>
        </w:tc>
        <w:tc>
          <w:tcPr>
            <w:tcW w:w="1216" w:type="dxa"/>
            <w:noWrap/>
            <w:vAlign w:val="bottom"/>
          </w:tcPr>
          <w:p w:rsidR="00000000" w:rsidRDefault="00BC67ED">
            <w:pPr>
              <w:jc w:val="right"/>
              <w:rPr>
                <w:rFonts w:ascii="Arial" w:hAnsi="Arial" w:cs="Arial"/>
              </w:rPr>
            </w:pPr>
            <w:r>
              <w:rPr>
                <w:rFonts w:ascii="Arial" w:hAnsi="Arial" w:cs="Arial"/>
              </w:rPr>
              <w:t>0.65</w:t>
            </w:r>
          </w:p>
        </w:tc>
      </w:tr>
    </w:tbl>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firstLine="708"/>
        <w:jc w:val="center"/>
        <w:rPr>
          <w:rFonts w:ascii="Arial" w:hAnsi="Arial" w:cs="Arial"/>
          <w:b/>
          <w:lang w:val="fr-FR"/>
        </w:rPr>
      </w:pPr>
    </w:p>
    <w:p w:rsidR="00000000" w:rsidRDefault="00BC67ED">
      <w:pPr>
        <w:spacing w:line="360" w:lineRule="auto"/>
        <w:ind w:firstLine="708"/>
        <w:jc w:val="center"/>
        <w:rPr>
          <w:rFonts w:ascii="Arial" w:hAnsi="Arial" w:cs="Arial"/>
          <w:b/>
          <w:lang w:val="fr-FR"/>
        </w:rPr>
      </w:pPr>
    </w:p>
    <w:p w:rsidR="00000000" w:rsidRDefault="00BC67ED">
      <w:pPr>
        <w:spacing w:line="360" w:lineRule="auto"/>
        <w:ind w:firstLine="708"/>
        <w:jc w:val="center"/>
        <w:rPr>
          <w:rFonts w:ascii="Arial" w:hAnsi="Arial" w:cs="Arial"/>
          <w:b/>
          <w:lang w:val="fr-FR"/>
        </w:rPr>
      </w:pPr>
    </w:p>
    <w:p w:rsidR="00000000" w:rsidRDefault="00BC67ED">
      <w:pPr>
        <w:spacing w:line="360" w:lineRule="auto"/>
        <w:ind w:firstLine="708"/>
        <w:jc w:val="center"/>
        <w:rPr>
          <w:rFonts w:ascii="Arial" w:hAnsi="Arial" w:cs="Arial"/>
          <w:b/>
          <w:lang w:val="fr-FR"/>
        </w:rPr>
      </w:pPr>
    </w:p>
    <w:p w:rsidR="00000000" w:rsidRDefault="00BC67ED">
      <w:pPr>
        <w:spacing w:line="360" w:lineRule="auto"/>
        <w:ind w:firstLine="708"/>
        <w:jc w:val="center"/>
        <w:rPr>
          <w:rFonts w:ascii="Arial" w:hAnsi="Arial" w:cs="Arial"/>
          <w:b/>
          <w:lang w:val="fr-FR"/>
        </w:rPr>
      </w:pPr>
    </w:p>
    <w:p w:rsidR="00000000" w:rsidRDefault="00BC67ED">
      <w:pPr>
        <w:spacing w:line="360" w:lineRule="auto"/>
        <w:ind w:firstLine="708"/>
        <w:jc w:val="center"/>
        <w:rPr>
          <w:rFonts w:ascii="Arial" w:hAnsi="Arial" w:cs="Arial"/>
          <w:b/>
          <w:lang w:val="fr-FR"/>
        </w:rPr>
      </w:pPr>
    </w:p>
    <w:p w:rsidR="00000000" w:rsidRDefault="00BC67ED">
      <w:pPr>
        <w:spacing w:line="480" w:lineRule="auto"/>
        <w:ind w:left="720"/>
        <w:jc w:val="both"/>
        <w:rPr>
          <w:rFonts w:ascii="Arial" w:hAnsi="Arial" w:cs="Arial"/>
          <w:b/>
          <w:i/>
        </w:rPr>
      </w:pPr>
    </w:p>
    <w:p w:rsidR="00000000" w:rsidRDefault="00BC67ED">
      <w:pPr>
        <w:spacing w:line="480" w:lineRule="auto"/>
        <w:ind w:left="720"/>
        <w:jc w:val="both"/>
        <w:rPr>
          <w:rFonts w:ascii="Arial" w:hAnsi="Arial" w:cs="Arial"/>
          <w:b/>
          <w:i/>
        </w:rPr>
      </w:pPr>
      <w:r>
        <w:rPr>
          <w:rFonts w:ascii="Arial" w:hAnsi="Arial" w:cs="Arial"/>
          <w:b/>
          <w:i/>
        </w:rPr>
        <w:t>Variable # 5: Dieta dirigida</w:t>
      </w:r>
    </w:p>
    <w:p w:rsidR="00000000" w:rsidRDefault="00BC67ED">
      <w:pPr>
        <w:spacing w:line="480" w:lineRule="auto"/>
        <w:ind w:left="720"/>
        <w:jc w:val="both"/>
        <w:rPr>
          <w:rFonts w:ascii="Arial" w:hAnsi="Arial" w:cs="Arial"/>
        </w:rPr>
      </w:pPr>
      <w:r>
        <w:rPr>
          <w:rFonts w:ascii="Arial" w:hAnsi="Arial" w:cs="Arial"/>
        </w:rPr>
        <w:t>Como podemos observar en la figura</w:t>
      </w:r>
      <w:r>
        <w:rPr>
          <w:rFonts w:ascii="Arial" w:hAnsi="Arial" w:cs="Arial"/>
        </w:rPr>
        <w:t xml:space="preserve"> 3-5, la mayor parte de los pacientes que se han preocupado en hacerse chequeos en un 83,3% no ha tenido ningún tipo de dieta que este controlada mientras que existe un 0.8% de pacientes que si lo hace, este minúsculo porcentaje previenen de manera aliment</w:t>
      </w:r>
      <w:r>
        <w:rPr>
          <w:rFonts w:ascii="Arial" w:hAnsi="Arial" w:cs="Arial"/>
        </w:rPr>
        <w:t>icia los posibles efectos de un cáncer de esófago.</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3-5 </w:t>
      </w:r>
    </w:p>
    <w:p w:rsidR="00000000" w:rsidRDefault="00BC67ED">
      <w:pPr>
        <w:ind w:firstLine="708"/>
        <w:jc w:val="center"/>
        <w:rPr>
          <w:rFonts w:ascii="Arial" w:hAnsi="Arial" w:cs="Arial"/>
          <w:b/>
        </w:rPr>
      </w:pPr>
      <w:r>
        <w:rPr>
          <w:rFonts w:ascii="Arial" w:hAnsi="Arial" w:cs="Arial"/>
          <w:b/>
        </w:rPr>
        <w:t>HISTOGRAMA DE FRECUENCIA PARA LA DIETA DIRIGIDA</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183" w:firstLine="525"/>
        <w:jc w:val="center"/>
      </w:pPr>
      <w:r>
        <w:rPr>
          <w:noProof/>
          <w:lang w:val="es-ES" w:eastAsia="es-ES"/>
        </w:rPr>
        <w:drawing>
          <wp:inline distT="0" distB="0" distL="0" distR="0">
            <wp:extent cx="4279265" cy="2647950"/>
            <wp:effectExtent l="0" t="0" r="0" b="0"/>
            <wp:docPr id="126" name="Objeto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000000" w:rsidRDefault="00BC67ED">
      <w:pPr>
        <w:spacing w:line="360" w:lineRule="auto"/>
        <w:ind w:left="3"/>
        <w:jc w:val="center"/>
      </w:pPr>
    </w:p>
    <w:p w:rsidR="00000000" w:rsidRDefault="00BC67ED">
      <w:pPr>
        <w:spacing w:line="360" w:lineRule="auto"/>
        <w:ind w:left="545"/>
        <w:jc w:val="center"/>
        <w:rPr>
          <w:rFonts w:ascii="Arial" w:hAnsi="Arial" w:cs="Arial"/>
          <w:b/>
        </w:rPr>
      </w:pPr>
    </w:p>
    <w:p w:rsidR="00000000" w:rsidRDefault="00BC67ED">
      <w:pPr>
        <w:spacing w:line="480" w:lineRule="auto"/>
        <w:ind w:left="723"/>
        <w:jc w:val="both"/>
        <w:rPr>
          <w:rFonts w:ascii="Arial" w:hAnsi="Arial" w:cs="Arial"/>
        </w:rPr>
      </w:pPr>
      <w:r>
        <w:rPr>
          <w:rFonts w:ascii="Arial" w:hAnsi="Arial" w:cs="Arial"/>
        </w:rPr>
        <w:t>En la Tabla V, presentamos la estadística descriptiva de esta variable, tenemos que el va</w:t>
      </w:r>
      <w:r>
        <w:rPr>
          <w:rFonts w:ascii="Arial" w:hAnsi="Arial" w:cs="Arial"/>
        </w:rPr>
        <w:t>lor de la media aritmética es de 0,308.</w:t>
      </w:r>
    </w:p>
    <w:p w:rsidR="00000000" w:rsidRDefault="00BC67ED">
      <w:pPr>
        <w:spacing w:line="480" w:lineRule="auto"/>
        <w:ind w:left="723"/>
        <w:jc w:val="both"/>
        <w:rPr>
          <w:rFonts w:ascii="Arial" w:hAnsi="Arial" w:cs="Arial"/>
        </w:rPr>
      </w:pPr>
      <w:r>
        <w:rPr>
          <w:rFonts w:ascii="Arial" w:hAnsi="Arial" w:cs="Arial"/>
        </w:rPr>
        <w:t>El sesgo de esta variable es 2,72, esto significa que la distribución de la variable esta sesgada positivamente.</w:t>
      </w:r>
    </w:p>
    <w:p w:rsidR="00000000" w:rsidRDefault="00BC67ED">
      <w:pPr>
        <w:spacing w:line="480" w:lineRule="auto"/>
        <w:ind w:left="723"/>
        <w:jc w:val="both"/>
        <w:rPr>
          <w:rFonts w:ascii="Arial" w:hAnsi="Arial" w:cs="Arial"/>
        </w:rPr>
      </w:pPr>
      <w:r>
        <w:rPr>
          <w:rFonts w:ascii="Arial" w:hAnsi="Arial" w:cs="Arial"/>
        </w:rPr>
        <w:t>La varianza de los datos de esta variable es de 0,635, lo cual nos indica que existe una poca variabili</w:t>
      </w:r>
      <w:r>
        <w:rPr>
          <w:rFonts w:ascii="Arial" w:hAnsi="Arial" w:cs="Arial"/>
        </w:rPr>
        <w:t>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el gráfico, la distribución de esta variable no es simétrica. También podemos afirmar que con el 95% de confianza el valor de la media aritmética de esta variable se encontrara en el intervalo [0,45, 0</w:t>
      </w:r>
      <w:r>
        <w:rPr>
          <w:rFonts w:ascii="Arial" w:hAnsi="Arial" w:cs="Arial"/>
        </w:rPr>
        <w:t xml:space="preserve">,16], el coeficiente de Curtosis es </w:t>
      </w:r>
      <w:r>
        <w:rPr>
          <w:rFonts w:ascii="Arial" w:hAnsi="Arial" w:cs="Arial"/>
        </w:rPr>
        <w:lastRenderedPageBreak/>
        <w:t xml:space="preserve">6,37, lo que nos permite especificar que la distribución de esta variable es de tipo leptocúrtica.  </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V</w:t>
      </w:r>
    </w:p>
    <w:p w:rsidR="00000000" w:rsidRDefault="00BC67ED">
      <w:pPr>
        <w:ind w:left="545"/>
        <w:jc w:val="center"/>
        <w:rPr>
          <w:rFonts w:ascii="Arial" w:hAnsi="Arial" w:cs="Arial"/>
          <w:b/>
        </w:rPr>
      </w:pPr>
      <w:r>
        <w:rPr>
          <w:rFonts w:ascii="Arial" w:hAnsi="Arial" w:cs="Arial"/>
          <w:b/>
        </w:rPr>
        <w:t>ESTADISTICA DESCRIPTIVA DEL DIETA DIRIGIDA</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
        <w:jc w:val="center"/>
      </w:pPr>
    </w:p>
    <w:tbl>
      <w:tblPr>
        <w:tblW w:w="4018"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2"/>
        <w:gridCol w:w="1216"/>
      </w:tblGrid>
      <w:tr w:rsidR="00000000">
        <w:trPr>
          <w:trHeight w:val="300"/>
        </w:trPr>
        <w:tc>
          <w:tcPr>
            <w:tcW w:w="2802" w:type="dxa"/>
            <w:noWrap/>
            <w:vAlign w:val="bottom"/>
          </w:tcPr>
          <w:p w:rsidR="00000000" w:rsidRDefault="00BC67ED">
            <w:pPr>
              <w:rPr>
                <w:rFonts w:ascii="Arial" w:hAnsi="Arial" w:cs="Arial"/>
              </w:rPr>
            </w:pPr>
            <w:r>
              <w:rPr>
                <w:rFonts w:ascii="Arial" w:hAnsi="Arial" w:cs="Arial"/>
              </w:rPr>
              <w:t>Media</w:t>
            </w:r>
          </w:p>
        </w:tc>
        <w:tc>
          <w:tcPr>
            <w:tcW w:w="1216" w:type="dxa"/>
            <w:noWrap/>
            <w:vAlign w:val="bottom"/>
          </w:tcPr>
          <w:p w:rsidR="00000000" w:rsidRDefault="00BC67ED">
            <w:pPr>
              <w:jc w:val="right"/>
              <w:rPr>
                <w:rFonts w:ascii="Arial" w:hAnsi="Arial" w:cs="Arial"/>
              </w:rPr>
            </w:pPr>
            <w:r>
              <w:rPr>
                <w:rFonts w:ascii="Arial" w:hAnsi="Arial" w:cs="Arial"/>
              </w:rPr>
              <w:t>0,308</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Error típico</w:t>
            </w:r>
          </w:p>
        </w:tc>
        <w:tc>
          <w:tcPr>
            <w:tcW w:w="1216" w:type="dxa"/>
            <w:noWrap/>
            <w:vAlign w:val="bottom"/>
          </w:tcPr>
          <w:p w:rsidR="00000000" w:rsidRDefault="00BC67ED">
            <w:pPr>
              <w:jc w:val="right"/>
              <w:rPr>
                <w:rFonts w:ascii="Arial" w:hAnsi="Arial" w:cs="Arial"/>
              </w:rPr>
            </w:pPr>
            <w:r>
              <w:rPr>
                <w:rFonts w:ascii="Arial" w:hAnsi="Arial" w:cs="Arial"/>
              </w:rPr>
              <w:t>0,072</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Desviación es</w:t>
            </w:r>
            <w:r>
              <w:rPr>
                <w:rFonts w:ascii="Arial" w:hAnsi="Arial" w:cs="Arial"/>
              </w:rPr>
              <w:t>tándar</w:t>
            </w:r>
          </w:p>
        </w:tc>
        <w:tc>
          <w:tcPr>
            <w:tcW w:w="1216" w:type="dxa"/>
            <w:noWrap/>
            <w:vAlign w:val="bottom"/>
          </w:tcPr>
          <w:p w:rsidR="00000000" w:rsidRDefault="00BC67ED">
            <w:pPr>
              <w:jc w:val="right"/>
              <w:rPr>
                <w:rFonts w:ascii="Arial" w:hAnsi="Arial" w:cs="Arial"/>
              </w:rPr>
            </w:pPr>
            <w:r>
              <w:rPr>
                <w:rFonts w:ascii="Arial" w:hAnsi="Arial" w:cs="Arial"/>
              </w:rPr>
              <w:t>0,797</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 xml:space="preserve">Varianza </w:t>
            </w:r>
          </w:p>
        </w:tc>
        <w:tc>
          <w:tcPr>
            <w:tcW w:w="1216" w:type="dxa"/>
            <w:noWrap/>
            <w:vAlign w:val="bottom"/>
          </w:tcPr>
          <w:p w:rsidR="00000000" w:rsidRDefault="00BC67ED">
            <w:pPr>
              <w:jc w:val="right"/>
              <w:rPr>
                <w:rFonts w:ascii="Arial" w:hAnsi="Arial" w:cs="Arial"/>
              </w:rPr>
            </w:pPr>
            <w:r>
              <w:rPr>
                <w:rFonts w:ascii="Arial" w:hAnsi="Arial" w:cs="Arial"/>
              </w:rPr>
              <w:t>0,635</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Curtosis</w:t>
            </w:r>
          </w:p>
        </w:tc>
        <w:tc>
          <w:tcPr>
            <w:tcW w:w="1216" w:type="dxa"/>
            <w:noWrap/>
            <w:vAlign w:val="bottom"/>
          </w:tcPr>
          <w:p w:rsidR="00000000" w:rsidRDefault="00BC67ED">
            <w:pPr>
              <w:jc w:val="right"/>
              <w:rPr>
                <w:rFonts w:ascii="Arial" w:hAnsi="Arial" w:cs="Arial"/>
              </w:rPr>
            </w:pPr>
            <w:r>
              <w:rPr>
                <w:rFonts w:ascii="Arial" w:hAnsi="Arial" w:cs="Arial"/>
              </w:rPr>
              <w:t>6,374</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Sesgo</w:t>
            </w:r>
          </w:p>
        </w:tc>
        <w:tc>
          <w:tcPr>
            <w:tcW w:w="1216" w:type="dxa"/>
            <w:noWrap/>
            <w:vAlign w:val="bottom"/>
          </w:tcPr>
          <w:p w:rsidR="00000000" w:rsidRDefault="00BC67ED">
            <w:pPr>
              <w:jc w:val="right"/>
              <w:rPr>
                <w:rFonts w:ascii="Arial" w:hAnsi="Arial" w:cs="Arial"/>
              </w:rPr>
            </w:pPr>
            <w:r>
              <w:rPr>
                <w:rFonts w:ascii="Arial" w:hAnsi="Arial" w:cs="Arial"/>
              </w:rPr>
              <w:t>2,727</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216" w:type="dxa"/>
            <w:noWrap/>
            <w:vAlign w:val="bottom"/>
          </w:tcPr>
          <w:p w:rsidR="00000000" w:rsidRDefault="00BC67ED">
            <w:pPr>
              <w:jc w:val="right"/>
              <w:rPr>
                <w:rFonts w:ascii="Arial" w:hAnsi="Arial" w:cs="Arial"/>
              </w:rPr>
            </w:pPr>
            <w:r>
              <w:rPr>
                <w:rFonts w:ascii="Arial" w:hAnsi="Arial" w:cs="Arial"/>
                <w:lang w:val="es-ES_tradnl"/>
              </w:rPr>
              <w:t>0.45</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Inferior</w:t>
            </w:r>
          </w:p>
        </w:tc>
        <w:tc>
          <w:tcPr>
            <w:tcW w:w="1216" w:type="dxa"/>
            <w:noWrap/>
            <w:vAlign w:val="bottom"/>
          </w:tcPr>
          <w:p w:rsidR="00000000" w:rsidRDefault="00BC67ED">
            <w:pPr>
              <w:jc w:val="right"/>
              <w:rPr>
                <w:rFonts w:ascii="Arial" w:hAnsi="Arial" w:cs="Arial"/>
              </w:rPr>
            </w:pPr>
            <w:r>
              <w:rPr>
                <w:rFonts w:ascii="Arial" w:hAnsi="Arial" w:cs="Arial"/>
              </w:rPr>
              <w:t>0.16</w:t>
            </w:r>
          </w:p>
        </w:tc>
      </w:tr>
    </w:tbl>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480" w:lineRule="auto"/>
        <w:ind w:left="720"/>
        <w:jc w:val="both"/>
        <w:rPr>
          <w:rFonts w:ascii="Arial" w:hAnsi="Arial" w:cs="Arial"/>
          <w:b/>
          <w:i/>
        </w:rPr>
      </w:pPr>
      <w:r>
        <w:rPr>
          <w:rFonts w:ascii="Arial" w:hAnsi="Arial" w:cs="Arial"/>
          <w:b/>
          <w:i/>
        </w:rPr>
        <w:t>Variable # 6: Estupefacientes</w:t>
      </w:r>
    </w:p>
    <w:p w:rsidR="00000000" w:rsidRDefault="00BC67ED">
      <w:pPr>
        <w:spacing w:line="480" w:lineRule="auto"/>
        <w:ind w:left="720"/>
        <w:jc w:val="both"/>
        <w:rPr>
          <w:rFonts w:ascii="Arial" w:hAnsi="Arial" w:cs="Arial"/>
        </w:rPr>
      </w:pPr>
      <w:r>
        <w:rPr>
          <w:rFonts w:ascii="Arial" w:hAnsi="Arial" w:cs="Arial"/>
        </w:rPr>
        <w:t>Como podemos observar en la figura 3-6, la mayor parte de los pacientes que se han preocupado en hacerse chequ</w:t>
      </w:r>
      <w:r>
        <w:rPr>
          <w:rFonts w:ascii="Arial" w:hAnsi="Arial" w:cs="Arial"/>
        </w:rPr>
        <w:t xml:space="preserve">eos en un 99,2% no tiene este hábito, mientras que existe un 0.8% de pacientes que si lo hace, este minúsculo porcentaje que combinándolo con otros malos hábitos como lo son el alcohol y el tabaco puede ser mortal para adquirir esta mortal enfermedad. </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3-6 </w:t>
      </w:r>
    </w:p>
    <w:p w:rsidR="00000000" w:rsidRDefault="00BC67ED">
      <w:pPr>
        <w:ind w:firstLine="708"/>
        <w:jc w:val="center"/>
        <w:rPr>
          <w:rFonts w:ascii="Arial" w:hAnsi="Arial" w:cs="Arial"/>
          <w:b/>
        </w:rPr>
      </w:pPr>
      <w:r>
        <w:rPr>
          <w:rFonts w:ascii="Arial" w:hAnsi="Arial" w:cs="Arial"/>
          <w:b/>
        </w:rPr>
        <w:t>HISTOGRAMA DE FRECUENCIA DE ESTUPEFACIENTES</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63" w:firstLine="345"/>
        <w:jc w:val="center"/>
      </w:pPr>
      <w:r>
        <w:rPr>
          <w:noProof/>
          <w:lang w:val="es-ES" w:eastAsia="es-ES"/>
        </w:rPr>
        <w:drawing>
          <wp:inline distT="0" distB="0" distL="0" distR="0">
            <wp:extent cx="4110990" cy="2765425"/>
            <wp:effectExtent l="0" t="0" r="0" b="0"/>
            <wp:docPr id="127" name="Objeto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000000" w:rsidRDefault="00BC67ED">
      <w:pPr>
        <w:spacing w:line="360" w:lineRule="auto"/>
        <w:ind w:left="543"/>
        <w:jc w:val="center"/>
      </w:pP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En la Tabla VI, presentamos la estadística descriptiva de esta variable, tenemos que el valor de la media aritmética es de 0,016.</w:t>
      </w:r>
    </w:p>
    <w:p w:rsidR="00000000" w:rsidRDefault="00BC67ED">
      <w:pPr>
        <w:spacing w:line="480" w:lineRule="auto"/>
        <w:ind w:left="723"/>
        <w:jc w:val="both"/>
        <w:rPr>
          <w:rFonts w:ascii="Arial" w:hAnsi="Arial" w:cs="Arial"/>
        </w:rPr>
      </w:pPr>
      <w:r>
        <w:rPr>
          <w:rFonts w:ascii="Arial" w:hAnsi="Arial" w:cs="Arial"/>
        </w:rPr>
        <w:t xml:space="preserve">El sesgo de esta </w:t>
      </w:r>
      <w:r>
        <w:rPr>
          <w:rFonts w:ascii="Arial" w:hAnsi="Arial" w:cs="Arial"/>
        </w:rPr>
        <w:t>variable es 10,95, esto significa que la distribución de la variable esta sesgada positivamente.</w:t>
      </w:r>
    </w:p>
    <w:p w:rsidR="00000000" w:rsidRDefault="00BC67ED">
      <w:pPr>
        <w:spacing w:line="480" w:lineRule="auto"/>
        <w:ind w:left="723"/>
        <w:jc w:val="both"/>
        <w:rPr>
          <w:rFonts w:ascii="Arial" w:hAnsi="Arial" w:cs="Arial"/>
        </w:rPr>
      </w:pPr>
      <w:r>
        <w:rPr>
          <w:rFonts w:ascii="Arial" w:hAnsi="Arial" w:cs="Arial"/>
        </w:rPr>
        <w:t>La varianza de los datos de esta variable es de 0,033, lo cual nos indica que existe una poca variabilidad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w:t>
      </w:r>
      <w:r>
        <w:rPr>
          <w:rFonts w:ascii="Arial" w:hAnsi="Arial" w:cs="Arial"/>
        </w:rPr>
        <w:t xml:space="preserve">l gráfico, la distribución de esta variable no es simétrica. También podemos afirmar que con el 95% de </w:t>
      </w:r>
      <w:r>
        <w:rPr>
          <w:rFonts w:ascii="Arial" w:hAnsi="Arial" w:cs="Arial"/>
        </w:rPr>
        <w:lastRenderedPageBreak/>
        <w:t>confianza el valor de la media aritmética de esta variable se encontrara en el intervalo [0,05, -0,02].</w:t>
      </w:r>
    </w:p>
    <w:p w:rsidR="00000000" w:rsidRDefault="00BC67ED">
      <w:pPr>
        <w:spacing w:line="360" w:lineRule="auto"/>
        <w:ind w:left="545"/>
        <w:jc w:val="center"/>
        <w:rPr>
          <w:rFonts w:ascii="Arial" w:hAnsi="Arial" w:cs="Arial"/>
          <w:b/>
        </w:rPr>
      </w:pPr>
      <w:r>
        <w:rPr>
          <w:rFonts w:ascii="Arial" w:hAnsi="Arial" w:cs="Arial"/>
          <w:b/>
        </w:rPr>
        <w:t>TABLA VI</w:t>
      </w:r>
    </w:p>
    <w:p w:rsidR="00000000" w:rsidRDefault="00BC67ED">
      <w:pPr>
        <w:ind w:left="545"/>
        <w:jc w:val="center"/>
        <w:rPr>
          <w:rFonts w:ascii="Arial" w:hAnsi="Arial" w:cs="Arial"/>
          <w:b/>
        </w:rPr>
      </w:pPr>
      <w:r>
        <w:rPr>
          <w:rFonts w:ascii="Arial" w:hAnsi="Arial" w:cs="Arial"/>
          <w:b/>
        </w:rPr>
        <w:t>ESTADISTICA DESCRIPTIVA DEL CONSUMO DE E</w:t>
      </w:r>
      <w:r>
        <w:rPr>
          <w:rFonts w:ascii="Arial" w:hAnsi="Arial" w:cs="Arial"/>
          <w:b/>
        </w:rPr>
        <w:t>STUPEFACIENTES</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4018"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2"/>
        <w:gridCol w:w="1216"/>
      </w:tblGrid>
      <w:tr w:rsidR="00000000">
        <w:trPr>
          <w:trHeight w:val="300"/>
        </w:trPr>
        <w:tc>
          <w:tcPr>
            <w:tcW w:w="2802" w:type="dxa"/>
            <w:noWrap/>
            <w:vAlign w:val="bottom"/>
          </w:tcPr>
          <w:p w:rsidR="00000000" w:rsidRDefault="00BC67ED">
            <w:pPr>
              <w:rPr>
                <w:rFonts w:ascii="Arial" w:hAnsi="Arial" w:cs="Arial"/>
              </w:rPr>
            </w:pPr>
            <w:r>
              <w:rPr>
                <w:rFonts w:ascii="Arial" w:hAnsi="Arial" w:cs="Arial"/>
              </w:rPr>
              <w:t>Media</w:t>
            </w:r>
          </w:p>
        </w:tc>
        <w:tc>
          <w:tcPr>
            <w:tcW w:w="1216" w:type="dxa"/>
            <w:noWrap/>
            <w:vAlign w:val="bottom"/>
          </w:tcPr>
          <w:p w:rsidR="00000000" w:rsidRDefault="00BC67ED">
            <w:pPr>
              <w:jc w:val="right"/>
              <w:rPr>
                <w:rFonts w:ascii="Arial" w:hAnsi="Arial" w:cs="Arial"/>
              </w:rPr>
            </w:pPr>
            <w:r>
              <w:rPr>
                <w:rFonts w:ascii="Arial" w:hAnsi="Arial" w:cs="Arial"/>
              </w:rPr>
              <w:t>0,016</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Error típico</w:t>
            </w:r>
          </w:p>
        </w:tc>
        <w:tc>
          <w:tcPr>
            <w:tcW w:w="1216" w:type="dxa"/>
            <w:noWrap/>
            <w:vAlign w:val="bottom"/>
          </w:tcPr>
          <w:p w:rsidR="00000000" w:rsidRDefault="00BC67ED">
            <w:pPr>
              <w:jc w:val="right"/>
              <w:rPr>
                <w:rFonts w:ascii="Arial" w:hAnsi="Arial" w:cs="Arial"/>
              </w:rPr>
            </w:pPr>
            <w:r>
              <w:rPr>
                <w:rFonts w:ascii="Arial" w:hAnsi="Arial" w:cs="Arial"/>
              </w:rPr>
              <w:t>0,016</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Desviación estándar</w:t>
            </w:r>
          </w:p>
        </w:tc>
        <w:tc>
          <w:tcPr>
            <w:tcW w:w="1216" w:type="dxa"/>
            <w:noWrap/>
            <w:vAlign w:val="bottom"/>
          </w:tcPr>
          <w:p w:rsidR="00000000" w:rsidRDefault="00BC67ED">
            <w:pPr>
              <w:jc w:val="right"/>
              <w:rPr>
                <w:rFonts w:ascii="Arial" w:hAnsi="Arial" w:cs="Arial"/>
              </w:rPr>
            </w:pPr>
            <w:r>
              <w:rPr>
                <w:rFonts w:ascii="Arial" w:hAnsi="Arial" w:cs="Arial"/>
              </w:rPr>
              <w:t>0,182</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 xml:space="preserve">Varianza </w:t>
            </w:r>
          </w:p>
        </w:tc>
        <w:tc>
          <w:tcPr>
            <w:tcW w:w="1216" w:type="dxa"/>
            <w:noWrap/>
            <w:vAlign w:val="bottom"/>
          </w:tcPr>
          <w:p w:rsidR="00000000" w:rsidRDefault="00BC67ED">
            <w:pPr>
              <w:jc w:val="right"/>
              <w:rPr>
                <w:rFonts w:ascii="Arial" w:hAnsi="Arial" w:cs="Arial"/>
              </w:rPr>
            </w:pPr>
            <w:r>
              <w:rPr>
                <w:rFonts w:ascii="Arial" w:hAnsi="Arial" w:cs="Arial"/>
              </w:rPr>
              <w:t>0,033</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Curtosis</w:t>
            </w:r>
          </w:p>
        </w:tc>
        <w:tc>
          <w:tcPr>
            <w:tcW w:w="1216" w:type="dxa"/>
            <w:noWrap/>
            <w:vAlign w:val="bottom"/>
          </w:tcPr>
          <w:p w:rsidR="00000000" w:rsidRDefault="00BC67ED">
            <w:pPr>
              <w:jc w:val="right"/>
              <w:rPr>
                <w:rFonts w:ascii="Arial" w:hAnsi="Arial" w:cs="Arial"/>
              </w:rPr>
            </w:pPr>
            <w:r>
              <w:rPr>
                <w:rFonts w:ascii="Arial" w:hAnsi="Arial" w:cs="Arial"/>
              </w:rPr>
              <w:t>120</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Sesgo</w:t>
            </w:r>
          </w:p>
        </w:tc>
        <w:tc>
          <w:tcPr>
            <w:tcW w:w="1216" w:type="dxa"/>
            <w:noWrap/>
            <w:vAlign w:val="bottom"/>
          </w:tcPr>
          <w:p w:rsidR="00000000" w:rsidRDefault="00BC67ED">
            <w:pPr>
              <w:jc w:val="right"/>
              <w:rPr>
                <w:rFonts w:ascii="Arial" w:hAnsi="Arial" w:cs="Arial"/>
              </w:rPr>
            </w:pPr>
            <w:r>
              <w:rPr>
                <w:rFonts w:ascii="Arial" w:hAnsi="Arial" w:cs="Arial"/>
              </w:rPr>
              <w:t>10,954</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216" w:type="dxa"/>
            <w:noWrap/>
            <w:vAlign w:val="bottom"/>
          </w:tcPr>
          <w:p w:rsidR="00000000" w:rsidRDefault="00BC67ED">
            <w:pPr>
              <w:jc w:val="right"/>
              <w:rPr>
                <w:rFonts w:ascii="Arial" w:hAnsi="Arial" w:cs="Arial"/>
              </w:rPr>
            </w:pPr>
            <w:r>
              <w:rPr>
                <w:rFonts w:ascii="Arial" w:hAnsi="Arial" w:cs="Arial"/>
              </w:rPr>
              <w:t>0.05</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Inferior</w:t>
            </w:r>
          </w:p>
        </w:tc>
        <w:tc>
          <w:tcPr>
            <w:tcW w:w="1216" w:type="dxa"/>
            <w:noWrap/>
            <w:vAlign w:val="bottom"/>
          </w:tcPr>
          <w:p w:rsidR="00000000" w:rsidRDefault="00BC67ED">
            <w:pPr>
              <w:jc w:val="right"/>
              <w:rPr>
                <w:rFonts w:ascii="Arial" w:hAnsi="Arial" w:cs="Arial"/>
              </w:rPr>
            </w:pPr>
            <w:r>
              <w:rPr>
                <w:rFonts w:ascii="Arial" w:hAnsi="Arial" w:cs="Arial"/>
              </w:rPr>
              <w:t>-0.02</w:t>
            </w:r>
          </w:p>
        </w:tc>
      </w:tr>
    </w:tbl>
    <w:p w:rsidR="00000000" w:rsidRDefault="00BC67ED">
      <w:pPr>
        <w:spacing w:line="360" w:lineRule="auto"/>
        <w:ind w:left="543"/>
        <w:jc w:val="center"/>
      </w:pPr>
    </w:p>
    <w:p w:rsidR="00000000" w:rsidRDefault="00BC67ED">
      <w:pPr>
        <w:spacing w:line="360" w:lineRule="auto"/>
        <w:ind w:left="543"/>
        <w:jc w:val="center"/>
      </w:pPr>
    </w:p>
    <w:p w:rsidR="00000000" w:rsidRDefault="00BC67ED">
      <w:pPr>
        <w:spacing w:line="360" w:lineRule="auto"/>
        <w:ind w:left="543"/>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t>Antecedentes Patológicos  Personales (A.P.P.)</w:t>
      </w:r>
    </w:p>
    <w:p w:rsidR="00000000" w:rsidRDefault="00BC67ED">
      <w:pPr>
        <w:spacing w:line="480" w:lineRule="auto"/>
        <w:ind w:left="720"/>
        <w:jc w:val="both"/>
        <w:rPr>
          <w:rFonts w:ascii="Arial" w:hAnsi="Arial" w:cs="Arial"/>
          <w:b/>
          <w:i/>
        </w:rPr>
      </w:pPr>
    </w:p>
    <w:p w:rsidR="00000000" w:rsidRDefault="00BC67ED">
      <w:pPr>
        <w:spacing w:line="480" w:lineRule="auto"/>
        <w:ind w:left="720"/>
        <w:jc w:val="both"/>
        <w:rPr>
          <w:rFonts w:ascii="Arial" w:hAnsi="Arial" w:cs="Arial"/>
          <w:b/>
          <w:i/>
        </w:rPr>
      </w:pPr>
      <w:r>
        <w:rPr>
          <w:rFonts w:ascii="Arial" w:hAnsi="Arial" w:cs="Arial"/>
          <w:b/>
          <w:i/>
        </w:rPr>
        <w:t xml:space="preserve">Variable # </w:t>
      </w:r>
      <w:r>
        <w:rPr>
          <w:rFonts w:ascii="Arial" w:hAnsi="Arial" w:cs="Arial"/>
          <w:b/>
          <w:i/>
        </w:rPr>
        <w:t>7: Obesidad</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 xml:space="preserve">Como podemos observar en la figura 3-7, la mayor parte de los pacientes que se han realizado los exámenes no han sido obesos con un porcentaje del 85,8% y solamente un 14,2% si lo son, esto indicaría una marcada mala alimentación o pueden ser </w:t>
      </w:r>
      <w:r>
        <w:rPr>
          <w:rFonts w:ascii="Arial" w:hAnsi="Arial" w:cs="Arial"/>
        </w:rPr>
        <w:t>otros factores nutricionales.</w:t>
      </w: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3-7 </w:t>
      </w:r>
    </w:p>
    <w:p w:rsidR="00000000" w:rsidRDefault="00BC67ED">
      <w:pPr>
        <w:ind w:firstLine="708"/>
        <w:jc w:val="center"/>
        <w:rPr>
          <w:rFonts w:ascii="Arial" w:hAnsi="Arial" w:cs="Arial"/>
          <w:b/>
        </w:rPr>
      </w:pPr>
      <w:r>
        <w:rPr>
          <w:rFonts w:ascii="Arial" w:hAnsi="Arial" w:cs="Arial"/>
          <w:b/>
        </w:rPr>
        <w:t>HISTOGRAMA DE FRECUENCIA DE OBESOS</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spacing w:line="360" w:lineRule="auto"/>
        <w:ind w:left="3"/>
        <w:jc w:val="center"/>
      </w:pPr>
    </w:p>
    <w:p w:rsidR="00000000" w:rsidRDefault="00221239">
      <w:pPr>
        <w:spacing w:line="360" w:lineRule="auto"/>
        <w:ind w:left="363" w:firstLine="345"/>
        <w:jc w:val="center"/>
      </w:pPr>
      <w:r>
        <w:rPr>
          <w:noProof/>
          <w:lang w:val="es-ES" w:eastAsia="es-ES"/>
        </w:rPr>
        <w:drawing>
          <wp:inline distT="0" distB="0" distL="0" distR="0">
            <wp:extent cx="4110990" cy="2538095"/>
            <wp:effectExtent l="0" t="0" r="0" b="0"/>
            <wp:docPr id="128" name="Objeto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000000" w:rsidRDefault="00BC67ED">
      <w:pPr>
        <w:spacing w:line="360" w:lineRule="auto"/>
        <w:ind w:firstLine="708"/>
        <w:jc w:val="center"/>
        <w:rPr>
          <w:rFonts w:ascii="Arial" w:hAnsi="Arial" w:cs="Arial"/>
        </w:rPr>
      </w:pPr>
    </w:p>
    <w:p w:rsidR="00000000" w:rsidRDefault="00BC67ED">
      <w:pPr>
        <w:spacing w:line="480" w:lineRule="auto"/>
        <w:ind w:left="723"/>
        <w:jc w:val="both"/>
        <w:rPr>
          <w:rFonts w:ascii="Arial" w:hAnsi="Arial" w:cs="Arial"/>
        </w:rPr>
      </w:pPr>
      <w:r>
        <w:rPr>
          <w:rFonts w:ascii="Arial" w:hAnsi="Arial" w:cs="Arial"/>
        </w:rPr>
        <w:t>A continuación se presenta la Tabla de VII, que nos muestra la frecuencia absoluta, la frecuencia absoluta relativa, la frecue</w:t>
      </w:r>
      <w:r>
        <w:rPr>
          <w:rFonts w:ascii="Arial" w:hAnsi="Arial" w:cs="Arial"/>
        </w:rPr>
        <w:t>ncia acumulada absoluta y la frecuencia acumulada absoluta relativa de la variable Obesidad.</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VII</w:t>
      </w:r>
    </w:p>
    <w:p w:rsidR="00000000" w:rsidRDefault="00BC67ED">
      <w:pPr>
        <w:ind w:left="545"/>
        <w:jc w:val="center"/>
        <w:rPr>
          <w:rFonts w:ascii="Arial" w:hAnsi="Arial" w:cs="Arial"/>
          <w:b/>
        </w:rPr>
      </w:pPr>
      <w:r>
        <w:rPr>
          <w:rFonts w:ascii="Arial" w:hAnsi="Arial" w:cs="Arial"/>
          <w:b/>
        </w:rPr>
        <w:t>VERIABLE OBESIDAD</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firstLine="708"/>
        <w:jc w:val="center"/>
        <w:rPr>
          <w:rFonts w:ascii="Arial" w:hAnsi="Arial" w:cs="Arial"/>
        </w:rPr>
      </w:pP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20"/>
        <w:gridCol w:w="763"/>
        <w:gridCol w:w="1200"/>
        <w:gridCol w:w="1577"/>
        <w:gridCol w:w="1620"/>
        <w:gridCol w:w="2160"/>
      </w:tblGrid>
      <w:tr w:rsidR="00000000">
        <w:trPr>
          <w:cantSplit/>
          <w:trHeight w:val="255"/>
        </w:trPr>
        <w:tc>
          <w:tcPr>
            <w:tcW w:w="13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763"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577"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 xml:space="preserve">Frecuencia </w:t>
            </w:r>
            <w:r>
              <w:rPr>
                <w:rFonts w:ascii="Arial" w:hAnsi="Arial" w:cs="Arial"/>
                <w:b/>
                <w:i/>
                <w:iCs/>
                <w:sz w:val="18"/>
                <w:szCs w:val="18"/>
              </w:rPr>
              <w:t>Acumulada                 Absoluta (Fi)</w:t>
            </w:r>
          </w:p>
        </w:tc>
        <w:tc>
          <w:tcPr>
            <w:tcW w:w="21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1320" w:type="dxa"/>
            <w:vMerge/>
            <w:vAlign w:val="center"/>
          </w:tcPr>
          <w:p w:rsidR="00000000" w:rsidRDefault="00BC67ED">
            <w:pPr>
              <w:rPr>
                <w:rFonts w:ascii="Arial" w:hAnsi="Arial" w:cs="Arial"/>
                <w:i/>
                <w:iCs/>
                <w:sz w:val="20"/>
                <w:szCs w:val="20"/>
              </w:rPr>
            </w:pPr>
          </w:p>
        </w:tc>
        <w:tc>
          <w:tcPr>
            <w:tcW w:w="763"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577" w:type="dxa"/>
            <w:vMerge/>
            <w:vAlign w:val="center"/>
          </w:tcPr>
          <w:p w:rsidR="00000000" w:rsidRDefault="00BC67ED">
            <w:pPr>
              <w:rPr>
                <w:rFonts w:ascii="Arial" w:hAnsi="Arial" w:cs="Arial"/>
                <w:i/>
                <w:iCs/>
                <w:sz w:val="20"/>
                <w:szCs w:val="20"/>
              </w:rPr>
            </w:pPr>
          </w:p>
        </w:tc>
        <w:tc>
          <w:tcPr>
            <w:tcW w:w="1620" w:type="dxa"/>
            <w:vMerge/>
            <w:vAlign w:val="center"/>
          </w:tcPr>
          <w:p w:rsidR="00000000" w:rsidRDefault="00BC67ED">
            <w:pPr>
              <w:rPr>
                <w:rFonts w:ascii="Arial" w:hAnsi="Arial" w:cs="Arial"/>
                <w:i/>
                <w:iCs/>
                <w:sz w:val="20"/>
                <w:szCs w:val="20"/>
              </w:rPr>
            </w:pPr>
          </w:p>
        </w:tc>
        <w:tc>
          <w:tcPr>
            <w:tcW w:w="2160" w:type="dxa"/>
            <w:vMerge/>
            <w:vAlign w:val="center"/>
          </w:tcPr>
          <w:p w:rsidR="00000000" w:rsidRDefault="00BC67ED">
            <w:pPr>
              <w:rPr>
                <w:rFonts w:ascii="Arial" w:hAnsi="Arial" w:cs="Arial"/>
                <w:i/>
                <w:iCs/>
                <w:sz w:val="20"/>
                <w:szCs w:val="20"/>
              </w:rPr>
            </w:pPr>
          </w:p>
        </w:tc>
      </w:tr>
      <w:tr w:rsidR="00000000">
        <w:trPr>
          <w:trHeight w:val="300"/>
        </w:trPr>
        <w:tc>
          <w:tcPr>
            <w:tcW w:w="132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Es Obeso</w:t>
            </w:r>
          </w:p>
        </w:tc>
        <w:tc>
          <w:tcPr>
            <w:tcW w:w="763"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17</w:t>
            </w:r>
          </w:p>
        </w:tc>
        <w:tc>
          <w:tcPr>
            <w:tcW w:w="1577" w:type="dxa"/>
            <w:noWrap/>
            <w:vAlign w:val="bottom"/>
          </w:tcPr>
          <w:p w:rsidR="00000000" w:rsidRDefault="00BC67ED">
            <w:pPr>
              <w:jc w:val="center"/>
              <w:rPr>
                <w:rFonts w:ascii="Arial" w:hAnsi="Arial" w:cs="Arial"/>
                <w:i/>
                <w:sz w:val="20"/>
                <w:szCs w:val="20"/>
              </w:rPr>
            </w:pPr>
            <w:r>
              <w:rPr>
                <w:rFonts w:ascii="Arial" w:hAnsi="Arial" w:cs="Arial"/>
                <w:i/>
                <w:sz w:val="20"/>
                <w:szCs w:val="20"/>
              </w:rPr>
              <w:t>14,17%</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17</w:t>
            </w:r>
          </w:p>
        </w:tc>
        <w:tc>
          <w:tcPr>
            <w:tcW w:w="2160" w:type="dxa"/>
            <w:noWrap/>
            <w:vAlign w:val="bottom"/>
          </w:tcPr>
          <w:p w:rsidR="00000000" w:rsidRDefault="00BC67ED">
            <w:pPr>
              <w:jc w:val="center"/>
              <w:rPr>
                <w:rFonts w:ascii="Arial" w:hAnsi="Arial" w:cs="Arial"/>
                <w:i/>
                <w:sz w:val="20"/>
                <w:szCs w:val="20"/>
              </w:rPr>
            </w:pPr>
            <w:r>
              <w:rPr>
                <w:rFonts w:ascii="Arial" w:hAnsi="Arial" w:cs="Arial"/>
                <w:i/>
                <w:sz w:val="20"/>
                <w:szCs w:val="20"/>
              </w:rPr>
              <w:t>14,17%</w:t>
            </w:r>
          </w:p>
        </w:tc>
      </w:tr>
      <w:tr w:rsidR="00000000">
        <w:trPr>
          <w:trHeight w:val="315"/>
        </w:trPr>
        <w:tc>
          <w:tcPr>
            <w:tcW w:w="132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No es Obeso</w:t>
            </w:r>
          </w:p>
        </w:tc>
        <w:tc>
          <w:tcPr>
            <w:tcW w:w="763"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103</w:t>
            </w:r>
          </w:p>
        </w:tc>
        <w:tc>
          <w:tcPr>
            <w:tcW w:w="1577" w:type="dxa"/>
            <w:noWrap/>
            <w:vAlign w:val="bottom"/>
          </w:tcPr>
          <w:p w:rsidR="00000000" w:rsidRDefault="00BC67ED">
            <w:pPr>
              <w:jc w:val="center"/>
              <w:rPr>
                <w:rFonts w:ascii="Arial" w:hAnsi="Arial" w:cs="Arial"/>
                <w:i/>
                <w:sz w:val="20"/>
                <w:szCs w:val="20"/>
              </w:rPr>
            </w:pPr>
            <w:r>
              <w:rPr>
                <w:rFonts w:ascii="Arial" w:hAnsi="Arial" w:cs="Arial"/>
                <w:i/>
                <w:sz w:val="20"/>
                <w:szCs w:val="20"/>
              </w:rPr>
              <w:t>85,83%</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216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firstLine="708"/>
        <w:jc w:val="center"/>
        <w:rPr>
          <w:rFonts w:ascii="Arial" w:hAnsi="Arial" w:cs="Arial"/>
        </w:rPr>
      </w:pPr>
    </w:p>
    <w:p w:rsidR="00000000" w:rsidRDefault="00BC67ED">
      <w:pPr>
        <w:spacing w:line="360" w:lineRule="auto"/>
        <w:ind w:firstLine="708"/>
        <w:jc w:val="center"/>
        <w:rPr>
          <w:rFonts w:ascii="Arial" w:hAnsi="Arial" w:cs="Arial"/>
        </w:rPr>
      </w:pPr>
    </w:p>
    <w:p w:rsidR="00000000" w:rsidRDefault="00BC67ED">
      <w:pPr>
        <w:spacing w:line="480" w:lineRule="auto"/>
        <w:ind w:left="720"/>
        <w:jc w:val="both"/>
        <w:rPr>
          <w:rFonts w:ascii="Arial" w:hAnsi="Arial" w:cs="Arial"/>
          <w:b/>
          <w:i/>
        </w:rPr>
      </w:pPr>
      <w:r>
        <w:rPr>
          <w:rFonts w:ascii="Arial" w:hAnsi="Arial" w:cs="Arial"/>
          <w:b/>
          <w:i/>
        </w:rPr>
        <w:t>Variable # 8: Hipertensión Controlada</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Como podemos observar en la figura 3-8</w:t>
      </w:r>
      <w:r>
        <w:rPr>
          <w:rFonts w:ascii="Arial" w:hAnsi="Arial" w:cs="Arial"/>
        </w:rPr>
        <w:t xml:space="preserve"> la mayor parte de los pacientes que se han realizado los exámenes han padecido de hipertensión que no ha sido controlada representando un 67% del total de pacientes, mientras que un 33% ha tenido control sobre la hipertensión.</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r>
        <w:rPr>
          <w:rFonts w:ascii="Courier New" w:hAnsi="Courier New" w:cs="Courier New"/>
        </w:rPr>
        <w:t xml:space="preserve">  </w:t>
      </w:r>
      <w:r>
        <w:rPr>
          <w:rFonts w:ascii="Arial" w:hAnsi="Arial" w:cs="Arial"/>
          <w:b/>
        </w:rPr>
        <w:t xml:space="preserve">FIGURA 3-8 </w:t>
      </w:r>
    </w:p>
    <w:p w:rsidR="00000000" w:rsidRDefault="00BC67ED">
      <w:pPr>
        <w:ind w:firstLine="708"/>
        <w:jc w:val="center"/>
        <w:rPr>
          <w:rFonts w:ascii="Arial" w:hAnsi="Arial" w:cs="Arial"/>
          <w:b/>
        </w:rPr>
      </w:pPr>
      <w:r>
        <w:rPr>
          <w:rFonts w:ascii="Arial" w:hAnsi="Arial" w:cs="Arial"/>
          <w:b/>
        </w:rPr>
        <w:t>HISTOGRAMA D</w:t>
      </w:r>
      <w:r>
        <w:rPr>
          <w:rFonts w:ascii="Arial" w:hAnsi="Arial" w:cs="Arial"/>
          <w:b/>
        </w:rPr>
        <w:t>E FRECUENCIA DE</w:t>
      </w:r>
    </w:p>
    <w:p w:rsidR="00000000" w:rsidRDefault="00BC67ED">
      <w:pPr>
        <w:ind w:firstLine="708"/>
        <w:jc w:val="center"/>
        <w:rPr>
          <w:rFonts w:ascii="Arial" w:hAnsi="Arial" w:cs="Arial"/>
          <w:b/>
          <w:caps/>
        </w:rPr>
      </w:pPr>
      <w:r>
        <w:rPr>
          <w:rFonts w:ascii="Arial" w:hAnsi="Arial" w:cs="Arial"/>
          <w:b/>
          <w:caps/>
        </w:rPr>
        <w:t>hipertensión Controlada</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78" w:firstLine="345"/>
        <w:jc w:val="center"/>
      </w:pPr>
      <w:r>
        <w:rPr>
          <w:noProof/>
          <w:lang w:val="es-ES" w:eastAsia="es-ES"/>
        </w:rPr>
        <w:drawing>
          <wp:inline distT="0" distB="0" distL="0" distR="0">
            <wp:extent cx="4110990" cy="2743200"/>
            <wp:effectExtent l="0" t="0" r="0" b="0"/>
            <wp:docPr id="129" name="Objeto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000000" w:rsidRDefault="00BC67ED">
      <w:pPr>
        <w:spacing w:line="360" w:lineRule="auto"/>
        <w:ind w:left="363"/>
        <w:jc w:val="center"/>
      </w:pPr>
    </w:p>
    <w:p w:rsidR="00000000" w:rsidRDefault="00BC67ED">
      <w:pPr>
        <w:spacing w:line="480" w:lineRule="auto"/>
        <w:ind w:left="723"/>
        <w:jc w:val="both"/>
        <w:rPr>
          <w:rFonts w:ascii="Arial" w:hAnsi="Arial" w:cs="Arial"/>
        </w:rPr>
      </w:pPr>
      <w:r>
        <w:rPr>
          <w:rFonts w:ascii="Arial" w:hAnsi="Arial" w:cs="Arial"/>
        </w:rPr>
        <w:lastRenderedPageBreak/>
        <w:t>A continuación se presenta la Tabla VIII, que nos muestra la frecuencia absoluta, la frecuencia absoluta relativa, la frecuencia acumulada absoluta y la frecuencia a</w:t>
      </w:r>
      <w:r>
        <w:rPr>
          <w:rFonts w:ascii="Arial" w:hAnsi="Arial" w:cs="Arial"/>
        </w:rPr>
        <w:t>cumulada absoluta relativa de la variable hipertensión controlada.</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 xml:space="preserve"> TABLA VIII</w:t>
      </w:r>
    </w:p>
    <w:p w:rsidR="00000000" w:rsidRDefault="00BC67ED">
      <w:pPr>
        <w:ind w:left="545"/>
        <w:jc w:val="center"/>
        <w:rPr>
          <w:rFonts w:ascii="Arial" w:hAnsi="Arial" w:cs="Arial"/>
          <w:b/>
        </w:rPr>
      </w:pPr>
      <w:r>
        <w:rPr>
          <w:rFonts w:ascii="Arial" w:hAnsi="Arial" w:cs="Arial"/>
          <w:b/>
          <w:caps/>
        </w:rPr>
        <w:t>hipertensión controlada</w:t>
      </w:r>
    </w:p>
    <w:p w:rsidR="00000000" w:rsidRDefault="00BC67ED">
      <w:pPr>
        <w:ind w:left="545"/>
        <w:jc w:val="center"/>
        <w:rPr>
          <w:rFonts w:ascii="Arial" w:hAnsi="Arial" w:cs="Arial"/>
          <w:b/>
        </w:rPr>
      </w:pPr>
      <w:r>
        <w:rPr>
          <w:rFonts w:ascii="Arial" w:hAnsi="Arial" w:cs="Arial"/>
          <w:b/>
        </w:rPr>
        <w:t xml:space="preserve"> (Cáncer de Esófago)</w:t>
      </w:r>
    </w:p>
    <w:p w:rsidR="00000000" w:rsidRDefault="00BC67ED">
      <w:pPr>
        <w:ind w:left="545"/>
        <w:jc w:val="center"/>
        <w:rPr>
          <w:rFonts w:ascii="Arial" w:hAnsi="Arial" w:cs="Arial"/>
          <w:b/>
        </w:rPr>
      </w:pPr>
    </w:p>
    <w:tbl>
      <w:tblPr>
        <w:tblpPr w:leftFromText="141" w:rightFromText="141" w:vertAnchor="page" w:horzAnchor="page" w:tblpX="2739" w:tblpY="6769"/>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8"/>
        <w:gridCol w:w="763"/>
        <w:gridCol w:w="1200"/>
        <w:gridCol w:w="1549"/>
        <w:gridCol w:w="1550"/>
        <w:gridCol w:w="1690"/>
      </w:tblGrid>
      <w:tr w:rsidR="00000000">
        <w:trPr>
          <w:cantSplit/>
          <w:trHeight w:val="255"/>
        </w:trPr>
        <w:tc>
          <w:tcPr>
            <w:tcW w:w="231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763"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549"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55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 xml:space="preserve">Frecuencia Acumulada        </w:t>
            </w:r>
            <w:r>
              <w:rPr>
                <w:rFonts w:ascii="Arial" w:hAnsi="Arial" w:cs="Arial"/>
                <w:b/>
                <w:i/>
                <w:iCs/>
                <w:sz w:val="18"/>
                <w:szCs w:val="18"/>
              </w:rPr>
              <w:t xml:space="preserve">         Absoluta (Fi)</w:t>
            </w:r>
          </w:p>
        </w:tc>
        <w:tc>
          <w:tcPr>
            <w:tcW w:w="169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318" w:type="dxa"/>
            <w:vMerge/>
            <w:vAlign w:val="center"/>
          </w:tcPr>
          <w:p w:rsidR="00000000" w:rsidRDefault="00BC67ED">
            <w:pPr>
              <w:rPr>
                <w:rFonts w:ascii="Arial" w:hAnsi="Arial" w:cs="Arial"/>
                <w:i/>
                <w:iCs/>
                <w:sz w:val="20"/>
                <w:szCs w:val="20"/>
              </w:rPr>
            </w:pPr>
          </w:p>
        </w:tc>
        <w:tc>
          <w:tcPr>
            <w:tcW w:w="763"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549" w:type="dxa"/>
            <w:vMerge/>
            <w:vAlign w:val="center"/>
          </w:tcPr>
          <w:p w:rsidR="00000000" w:rsidRDefault="00BC67ED">
            <w:pPr>
              <w:rPr>
                <w:rFonts w:ascii="Arial" w:hAnsi="Arial" w:cs="Arial"/>
                <w:i/>
                <w:iCs/>
                <w:sz w:val="20"/>
                <w:szCs w:val="20"/>
              </w:rPr>
            </w:pPr>
          </w:p>
        </w:tc>
        <w:tc>
          <w:tcPr>
            <w:tcW w:w="1550" w:type="dxa"/>
            <w:vMerge/>
            <w:vAlign w:val="center"/>
          </w:tcPr>
          <w:p w:rsidR="00000000" w:rsidRDefault="00BC67ED">
            <w:pPr>
              <w:rPr>
                <w:rFonts w:ascii="Arial" w:hAnsi="Arial" w:cs="Arial"/>
                <w:i/>
                <w:iCs/>
                <w:sz w:val="20"/>
                <w:szCs w:val="20"/>
              </w:rPr>
            </w:pPr>
          </w:p>
        </w:tc>
        <w:tc>
          <w:tcPr>
            <w:tcW w:w="1690" w:type="dxa"/>
            <w:vMerge/>
            <w:vAlign w:val="center"/>
          </w:tcPr>
          <w:p w:rsidR="00000000" w:rsidRDefault="00BC67ED">
            <w:pPr>
              <w:rPr>
                <w:rFonts w:ascii="Arial" w:hAnsi="Arial" w:cs="Arial"/>
                <w:i/>
                <w:iCs/>
                <w:sz w:val="20"/>
                <w:szCs w:val="20"/>
              </w:rPr>
            </w:pPr>
          </w:p>
        </w:tc>
      </w:tr>
      <w:tr w:rsidR="00000000">
        <w:trPr>
          <w:trHeight w:val="300"/>
        </w:trPr>
        <w:tc>
          <w:tcPr>
            <w:tcW w:w="2318"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Hipert. Controlada</w:t>
            </w:r>
          </w:p>
        </w:tc>
        <w:tc>
          <w:tcPr>
            <w:tcW w:w="763"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40</w:t>
            </w:r>
          </w:p>
        </w:tc>
        <w:tc>
          <w:tcPr>
            <w:tcW w:w="1549" w:type="dxa"/>
            <w:noWrap/>
            <w:vAlign w:val="bottom"/>
          </w:tcPr>
          <w:p w:rsidR="00000000" w:rsidRDefault="00BC67ED">
            <w:pPr>
              <w:jc w:val="center"/>
              <w:rPr>
                <w:rFonts w:ascii="Arial" w:hAnsi="Arial" w:cs="Arial"/>
                <w:i/>
                <w:sz w:val="20"/>
                <w:szCs w:val="20"/>
              </w:rPr>
            </w:pPr>
            <w:r>
              <w:rPr>
                <w:rFonts w:ascii="Arial" w:hAnsi="Arial" w:cs="Arial"/>
                <w:i/>
                <w:sz w:val="20"/>
                <w:szCs w:val="20"/>
              </w:rPr>
              <w:t>33,33%</w:t>
            </w:r>
          </w:p>
        </w:tc>
        <w:tc>
          <w:tcPr>
            <w:tcW w:w="1550" w:type="dxa"/>
            <w:noWrap/>
            <w:vAlign w:val="bottom"/>
          </w:tcPr>
          <w:p w:rsidR="00000000" w:rsidRDefault="00BC67ED">
            <w:pPr>
              <w:jc w:val="center"/>
              <w:rPr>
                <w:rFonts w:ascii="Arial" w:hAnsi="Arial" w:cs="Arial"/>
                <w:i/>
                <w:sz w:val="20"/>
                <w:szCs w:val="20"/>
              </w:rPr>
            </w:pPr>
            <w:r>
              <w:rPr>
                <w:rFonts w:ascii="Arial" w:hAnsi="Arial" w:cs="Arial"/>
                <w:i/>
                <w:sz w:val="20"/>
                <w:szCs w:val="20"/>
              </w:rPr>
              <w:t>40</w:t>
            </w:r>
          </w:p>
        </w:tc>
        <w:tc>
          <w:tcPr>
            <w:tcW w:w="1690" w:type="dxa"/>
            <w:noWrap/>
            <w:vAlign w:val="bottom"/>
          </w:tcPr>
          <w:p w:rsidR="00000000" w:rsidRDefault="00BC67ED">
            <w:pPr>
              <w:jc w:val="center"/>
              <w:rPr>
                <w:rFonts w:ascii="Arial" w:hAnsi="Arial" w:cs="Arial"/>
                <w:i/>
                <w:sz w:val="20"/>
                <w:szCs w:val="20"/>
              </w:rPr>
            </w:pPr>
            <w:r>
              <w:rPr>
                <w:rFonts w:ascii="Arial" w:hAnsi="Arial" w:cs="Arial"/>
                <w:i/>
                <w:sz w:val="20"/>
                <w:szCs w:val="20"/>
              </w:rPr>
              <w:t>33,33%</w:t>
            </w:r>
          </w:p>
        </w:tc>
      </w:tr>
      <w:tr w:rsidR="00000000">
        <w:trPr>
          <w:trHeight w:val="315"/>
        </w:trPr>
        <w:tc>
          <w:tcPr>
            <w:tcW w:w="2318"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Hipert. No Controlada</w:t>
            </w:r>
          </w:p>
        </w:tc>
        <w:tc>
          <w:tcPr>
            <w:tcW w:w="763"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80</w:t>
            </w:r>
          </w:p>
        </w:tc>
        <w:tc>
          <w:tcPr>
            <w:tcW w:w="1549" w:type="dxa"/>
            <w:noWrap/>
            <w:vAlign w:val="bottom"/>
          </w:tcPr>
          <w:p w:rsidR="00000000" w:rsidRDefault="00BC67ED">
            <w:pPr>
              <w:jc w:val="center"/>
              <w:rPr>
                <w:rFonts w:ascii="Arial" w:hAnsi="Arial" w:cs="Arial"/>
                <w:i/>
                <w:sz w:val="20"/>
                <w:szCs w:val="20"/>
              </w:rPr>
            </w:pPr>
            <w:r>
              <w:rPr>
                <w:rFonts w:ascii="Arial" w:hAnsi="Arial" w:cs="Arial"/>
                <w:i/>
                <w:sz w:val="20"/>
                <w:szCs w:val="20"/>
              </w:rPr>
              <w:t>66,67%</w:t>
            </w:r>
          </w:p>
        </w:tc>
        <w:tc>
          <w:tcPr>
            <w:tcW w:w="155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69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363"/>
        <w:jc w:val="center"/>
      </w:pPr>
    </w:p>
    <w:p w:rsidR="00000000" w:rsidRDefault="00BC67ED">
      <w:pPr>
        <w:spacing w:line="360" w:lineRule="auto"/>
        <w:ind w:left="720"/>
        <w:jc w:val="both"/>
        <w:rPr>
          <w:rFonts w:ascii="Arial" w:hAnsi="Arial" w:cs="Arial"/>
          <w:b/>
          <w:i/>
        </w:rPr>
      </w:pPr>
    </w:p>
    <w:p w:rsidR="00000000" w:rsidRDefault="00BC67ED">
      <w:pPr>
        <w:spacing w:line="360" w:lineRule="auto"/>
        <w:ind w:left="720"/>
        <w:jc w:val="both"/>
        <w:rPr>
          <w:rFonts w:ascii="Arial" w:hAnsi="Arial" w:cs="Arial"/>
          <w:b/>
          <w:i/>
        </w:rPr>
      </w:pPr>
    </w:p>
    <w:p w:rsidR="00000000" w:rsidRDefault="00BC67ED">
      <w:pPr>
        <w:spacing w:line="360" w:lineRule="auto"/>
        <w:ind w:left="720"/>
        <w:jc w:val="both"/>
        <w:rPr>
          <w:rFonts w:ascii="Arial" w:hAnsi="Arial" w:cs="Arial"/>
          <w:b/>
          <w:i/>
        </w:rPr>
      </w:pPr>
      <w:r>
        <w:rPr>
          <w:rFonts w:ascii="Arial" w:hAnsi="Arial" w:cs="Arial"/>
          <w:b/>
          <w:i/>
        </w:rPr>
        <w:t>Variable # 9: Alergias</w:t>
      </w:r>
    </w:p>
    <w:p w:rsidR="00000000" w:rsidRDefault="00BC67ED">
      <w:pPr>
        <w:spacing w:line="36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Como podemos observar en la figura 3-9 la mayor pa</w:t>
      </w:r>
      <w:r>
        <w:rPr>
          <w:rFonts w:ascii="Arial" w:hAnsi="Arial" w:cs="Arial"/>
        </w:rPr>
        <w:t>rte de los pacientes que se han realizado los exámenes no sufren de alergias representando un 93% del total de pacientes, mientras que un 7% ha tenido cierto tipo de alergias.</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3-9 </w:t>
      </w:r>
    </w:p>
    <w:p w:rsidR="00000000" w:rsidRDefault="00BC67ED">
      <w:pPr>
        <w:ind w:firstLine="708"/>
        <w:jc w:val="center"/>
        <w:rPr>
          <w:rFonts w:ascii="Arial" w:hAnsi="Arial" w:cs="Arial"/>
          <w:b/>
          <w:caps/>
        </w:rPr>
      </w:pPr>
      <w:r>
        <w:rPr>
          <w:rFonts w:ascii="Arial" w:hAnsi="Arial" w:cs="Arial"/>
          <w:b/>
        </w:rPr>
        <w:t xml:space="preserve">HISTOGRAMA DE FRECUENCIA DE </w:t>
      </w:r>
      <w:r>
        <w:rPr>
          <w:rFonts w:ascii="Arial" w:hAnsi="Arial" w:cs="Arial"/>
          <w:b/>
          <w:caps/>
        </w:rPr>
        <w:t>Alergias</w:t>
      </w:r>
    </w:p>
    <w:p w:rsidR="00000000" w:rsidRDefault="00BC67ED">
      <w:pPr>
        <w:ind w:firstLine="708"/>
        <w:jc w:val="center"/>
        <w:rPr>
          <w:rFonts w:ascii="Arial" w:hAnsi="Arial" w:cs="Arial"/>
          <w:b/>
        </w:rPr>
      </w:pPr>
      <w:r>
        <w:rPr>
          <w:rFonts w:ascii="Arial" w:hAnsi="Arial" w:cs="Arial"/>
          <w:b/>
        </w:rPr>
        <w:t>(Cáncer de Esófago)</w:t>
      </w: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0" name="Objeto 1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000000" w:rsidRDefault="00BC67ED">
      <w:pPr>
        <w:spacing w:line="360" w:lineRule="auto"/>
        <w:ind w:left="3"/>
        <w:jc w:val="center"/>
      </w:pPr>
    </w:p>
    <w:p w:rsidR="00000000" w:rsidRDefault="00BC67ED">
      <w:pPr>
        <w:spacing w:line="480" w:lineRule="auto"/>
        <w:ind w:left="723"/>
        <w:jc w:val="both"/>
        <w:rPr>
          <w:rFonts w:ascii="Arial" w:hAnsi="Arial" w:cs="Arial"/>
        </w:rPr>
      </w:pPr>
      <w:r>
        <w:rPr>
          <w:rFonts w:ascii="Arial" w:hAnsi="Arial" w:cs="Arial"/>
        </w:rPr>
        <w:t>A continuación se presenta la Tabla IX, que nos muestra la frecuencia absoluta, la frecuencia absoluta relativa, la frecuencia acumulada absoluta y la frecuencia acumulada absoluta relativa de los pacientes que han padecido de alerg</w:t>
      </w:r>
      <w:r>
        <w:rPr>
          <w:rFonts w:ascii="Arial" w:hAnsi="Arial" w:cs="Arial"/>
        </w:rPr>
        <w:t>ias.</w:t>
      </w:r>
    </w:p>
    <w:p w:rsidR="00000000" w:rsidRDefault="00BC67ED">
      <w:pPr>
        <w:spacing w:line="360" w:lineRule="auto"/>
        <w:ind w:left="3"/>
        <w:jc w:val="center"/>
      </w:pPr>
    </w:p>
    <w:p w:rsidR="00000000" w:rsidRDefault="00BC67ED">
      <w:pPr>
        <w:spacing w:line="360" w:lineRule="auto"/>
        <w:ind w:left="545"/>
        <w:jc w:val="center"/>
        <w:rPr>
          <w:rFonts w:ascii="Arial" w:hAnsi="Arial" w:cs="Arial"/>
          <w:b/>
        </w:rPr>
      </w:pPr>
      <w:r>
        <w:rPr>
          <w:rFonts w:ascii="Arial" w:hAnsi="Arial" w:cs="Arial"/>
          <w:b/>
        </w:rPr>
        <w:t>TABLA IX</w:t>
      </w:r>
    </w:p>
    <w:p w:rsidR="00000000" w:rsidRDefault="00BC67ED">
      <w:pPr>
        <w:ind w:left="545"/>
        <w:jc w:val="center"/>
        <w:rPr>
          <w:rFonts w:ascii="Arial" w:hAnsi="Arial" w:cs="Arial"/>
          <w:b/>
        </w:rPr>
      </w:pPr>
      <w:r>
        <w:rPr>
          <w:rFonts w:ascii="Arial" w:hAnsi="Arial" w:cs="Arial"/>
          <w:b/>
          <w:caps/>
        </w:rPr>
        <w:t>pacientes que padecen de Alergias</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895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7"/>
        <w:gridCol w:w="660"/>
        <w:gridCol w:w="1200"/>
        <w:gridCol w:w="1463"/>
        <w:gridCol w:w="1800"/>
        <w:gridCol w:w="1938"/>
      </w:tblGrid>
      <w:tr w:rsidR="00000000">
        <w:trPr>
          <w:cantSplit/>
          <w:trHeight w:val="255"/>
        </w:trPr>
        <w:tc>
          <w:tcPr>
            <w:tcW w:w="1897"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463"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8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93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 xml:space="preserve">Frecuencia Acumulada              </w:t>
            </w:r>
            <w:r>
              <w:rPr>
                <w:rFonts w:ascii="Arial" w:hAnsi="Arial" w:cs="Arial"/>
                <w:b/>
                <w:i/>
                <w:iCs/>
                <w:sz w:val="18"/>
                <w:szCs w:val="18"/>
              </w:rPr>
              <w:t xml:space="preserve">   Absoluta Relativa (Fi/N)</w:t>
            </w:r>
          </w:p>
        </w:tc>
      </w:tr>
      <w:tr w:rsidR="00000000">
        <w:trPr>
          <w:cantSplit/>
          <w:trHeight w:val="255"/>
        </w:trPr>
        <w:tc>
          <w:tcPr>
            <w:tcW w:w="1897"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463" w:type="dxa"/>
            <w:vMerge/>
            <w:vAlign w:val="center"/>
          </w:tcPr>
          <w:p w:rsidR="00000000" w:rsidRDefault="00BC67ED">
            <w:pPr>
              <w:rPr>
                <w:rFonts w:ascii="Arial" w:hAnsi="Arial" w:cs="Arial"/>
                <w:i/>
                <w:iCs/>
                <w:sz w:val="20"/>
                <w:szCs w:val="20"/>
              </w:rPr>
            </w:pPr>
          </w:p>
        </w:tc>
        <w:tc>
          <w:tcPr>
            <w:tcW w:w="1800" w:type="dxa"/>
            <w:vMerge/>
            <w:vAlign w:val="center"/>
          </w:tcPr>
          <w:p w:rsidR="00000000" w:rsidRDefault="00BC67ED">
            <w:pPr>
              <w:rPr>
                <w:rFonts w:ascii="Arial" w:hAnsi="Arial" w:cs="Arial"/>
                <w:i/>
                <w:iCs/>
                <w:sz w:val="20"/>
                <w:szCs w:val="20"/>
              </w:rPr>
            </w:pPr>
          </w:p>
        </w:tc>
        <w:tc>
          <w:tcPr>
            <w:tcW w:w="1938" w:type="dxa"/>
            <w:vMerge/>
            <w:vAlign w:val="center"/>
          </w:tcPr>
          <w:p w:rsidR="00000000" w:rsidRDefault="00BC67ED">
            <w:pPr>
              <w:rPr>
                <w:rFonts w:ascii="Arial" w:hAnsi="Arial" w:cs="Arial"/>
                <w:i/>
                <w:iCs/>
                <w:sz w:val="20"/>
                <w:szCs w:val="20"/>
              </w:rPr>
            </w:pPr>
          </w:p>
        </w:tc>
      </w:tr>
      <w:tr w:rsidR="00000000">
        <w:trPr>
          <w:trHeight w:val="300"/>
        </w:trPr>
        <w:tc>
          <w:tcPr>
            <w:tcW w:w="1897"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Tiene Alergias</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8</w:t>
            </w:r>
          </w:p>
        </w:tc>
        <w:tc>
          <w:tcPr>
            <w:tcW w:w="1463" w:type="dxa"/>
            <w:noWrap/>
            <w:vAlign w:val="bottom"/>
          </w:tcPr>
          <w:p w:rsidR="00000000" w:rsidRDefault="00BC67ED">
            <w:pPr>
              <w:jc w:val="center"/>
              <w:rPr>
                <w:rFonts w:ascii="Arial" w:hAnsi="Arial" w:cs="Arial"/>
                <w:i/>
                <w:sz w:val="20"/>
                <w:szCs w:val="20"/>
              </w:rPr>
            </w:pPr>
            <w:r>
              <w:rPr>
                <w:rFonts w:ascii="Arial" w:hAnsi="Arial" w:cs="Arial"/>
                <w:i/>
                <w:sz w:val="20"/>
                <w:szCs w:val="20"/>
              </w:rPr>
              <w:t>6,67%</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8</w:t>
            </w:r>
          </w:p>
        </w:tc>
        <w:tc>
          <w:tcPr>
            <w:tcW w:w="1938" w:type="dxa"/>
            <w:noWrap/>
            <w:vAlign w:val="bottom"/>
          </w:tcPr>
          <w:p w:rsidR="00000000" w:rsidRDefault="00BC67ED">
            <w:pPr>
              <w:jc w:val="center"/>
              <w:rPr>
                <w:rFonts w:ascii="Arial" w:hAnsi="Arial" w:cs="Arial"/>
                <w:i/>
                <w:sz w:val="20"/>
                <w:szCs w:val="20"/>
              </w:rPr>
            </w:pPr>
            <w:r>
              <w:rPr>
                <w:rFonts w:ascii="Arial" w:hAnsi="Arial" w:cs="Arial"/>
                <w:i/>
                <w:sz w:val="20"/>
                <w:szCs w:val="20"/>
              </w:rPr>
              <w:t>6,67%</w:t>
            </w:r>
          </w:p>
        </w:tc>
      </w:tr>
      <w:tr w:rsidR="00000000">
        <w:trPr>
          <w:trHeight w:val="315"/>
        </w:trPr>
        <w:tc>
          <w:tcPr>
            <w:tcW w:w="1897"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 xml:space="preserve"> No Tiene Alergias</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112</w:t>
            </w:r>
          </w:p>
        </w:tc>
        <w:tc>
          <w:tcPr>
            <w:tcW w:w="1463" w:type="dxa"/>
            <w:noWrap/>
            <w:vAlign w:val="bottom"/>
          </w:tcPr>
          <w:p w:rsidR="00000000" w:rsidRDefault="00BC67ED">
            <w:pPr>
              <w:jc w:val="center"/>
              <w:rPr>
                <w:rFonts w:ascii="Arial" w:hAnsi="Arial" w:cs="Arial"/>
                <w:i/>
                <w:sz w:val="20"/>
                <w:szCs w:val="20"/>
              </w:rPr>
            </w:pPr>
            <w:r>
              <w:rPr>
                <w:rFonts w:ascii="Arial" w:hAnsi="Arial" w:cs="Arial"/>
                <w:i/>
                <w:sz w:val="20"/>
                <w:szCs w:val="20"/>
              </w:rPr>
              <w:t>93,33%</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938"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360" w:lineRule="auto"/>
        <w:ind w:left="543"/>
        <w:jc w:val="center"/>
      </w:pPr>
    </w:p>
    <w:p w:rsidR="00000000" w:rsidRDefault="00BC67ED">
      <w:pPr>
        <w:spacing w:line="360" w:lineRule="auto"/>
        <w:ind w:left="543"/>
        <w:jc w:val="center"/>
      </w:pPr>
    </w:p>
    <w:p w:rsidR="00000000" w:rsidRDefault="00BC67ED">
      <w:pPr>
        <w:spacing w:line="480" w:lineRule="auto"/>
        <w:ind w:left="720"/>
        <w:jc w:val="both"/>
        <w:rPr>
          <w:rFonts w:ascii="Arial" w:hAnsi="Arial" w:cs="Arial"/>
          <w:b/>
          <w:i/>
        </w:rPr>
      </w:pPr>
      <w:r>
        <w:rPr>
          <w:rFonts w:ascii="Arial" w:hAnsi="Arial" w:cs="Arial"/>
          <w:b/>
          <w:i/>
        </w:rPr>
        <w:lastRenderedPageBreak/>
        <w:t>Variable # 10: Ingesta Cáustico</w:t>
      </w:r>
    </w:p>
    <w:p w:rsidR="00000000" w:rsidRDefault="00BC67ED">
      <w:pPr>
        <w:spacing w:line="480" w:lineRule="auto"/>
        <w:ind w:left="723"/>
        <w:jc w:val="both"/>
        <w:rPr>
          <w:rFonts w:ascii="Arial" w:hAnsi="Arial" w:cs="Arial"/>
        </w:rPr>
      </w:pPr>
      <w:r>
        <w:rPr>
          <w:rFonts w:ascii="Arial" w:hAnsi="Arial" w:cs="Arial"/>
        </w:rPr>
        <w:t xml:space="preserve">Como podemos observar en la figura 3-10 la mayor parte de los pacientes que se han realizado los exámenes no </w:t>
      </w:r>
      <w:r>
        <w:rPr>
          <w:rFonts w:ascii="Arial" w:hAnsi="Arial" w:cs="Arial"/>
        </w:rPr>
        <w:t>padecen de ingesta cáustico representando un 93% del total de pacientes, mientras que un 7% padecen de este mal y que sin un tratamiento a largo plazo pueden adquirir el cáncer de esófago.</w:t>
      </w:r>
    </w:p>
    <w:p w:rsidR="00000000" w:rsidRDefault="00BC67ED">
      <w:pPr>
        <w:spacing w:line="360" w:lineRule="auto"/>
        <w:ind w:firstLine="708"/>
        <w:jc w:val="center"/>
        <w:rPr>
          <w:rFonts w:ascii="Arial" w:hAnsi="Arial" w:cs="Arial"/>
          <w:b/>
        </w:rPr>
      </w:pPr>
      <w:r>
        <w:rPr>
          <w:rFonts w:ascii="Arial" w:hAnsi="Arial" w:cs="Arial"/>
          <w:b/>
        </w:rPr>
        <w:t xml:space="preserve">FIGURA 3-10 </w:t>
      </w:r>
    </w:p>
    <w:p w:rsidR="00000000" w:rsidRDefault="00BC67ED">
      <w:pPr>
        <w:ind w:firstLine="708"/>
        <w:jc w:val="center"/>
        <w:rPr>
          <w:rFonts w:ascii="Arial" w:hAnsi="Arial" w:cs="Arial"/>
          <w:b/>
        </w:rPr>
      </w:pPr>
      <w:r>
        <w:rPr>
          <w:rFonts w:ascii="Arial" w:hAnsi="Arial" w:cs="Arial"/>
          <w:b/>
        </w:rPr>
        <w:t xml:space="preserve">HISTOGRAMA DE FRECUENCIA DE INGESTA </w:t>
      </w:r>
      <w:r>
        <w:rPr>
          <w:rFonts w:ascii="Arial" w:hAnsi="Arial" w:cs="Arial"/>
          <w:b/>
          <w:caps/>
        </w:rPr>
        <w:t>Cáustico</w:t>
      </w:r>
    </w:p>
    <w:p w:rsidR="00000000" w:rsidRDefault="00BC67ED">
      <w:pPr>
        <w:ind w:firstLine="708"/>
        <w:jc w:val="center"/>
        <w:rPr>
          <w:rFonts w:ascii="Arial" w:hAnsi="Arial" w:cs="Arial"/>
          <w:b/>
        </w:rPr>
      </w:pPr>
      <w:r>
        <w:rPr>
          <w:rFonts w:ascii="Arial" w:hAnsi="Arial" w:cs="Arial"/>
          <w:b/>
        </w:rPr>
        <w:t>(Cáncer d</w:t>
      </w:r>
      <w:r>
        <w:rPr>
          <w:rFonts w:ascii="Arial" w:hAnsi="Arial" w:cs="Arial"/>
          <w:b/>
        </w:rPr>
        <w:t>e Esófago)</w:t>
      </w:r>
    </w:p>
    <w:p w:rsidR="00000000" w:rsidRDefault="00BC67ED">
      <w:pPr>
        <w:ind w:firstLine="708"/>
        <w:jc w:val="center"/>
        <w:rPr>
          <w:rFonts w:ascii="Arial" w:hAnsi="Arial" w:cs="Arial"/>
          <w:b/>
        </w:rPr>
      </w:pP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1" name="Objeto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000000" w:rsidRDefault="00BC67ED">
      <w:pPr>
        <w:spacing w:line="360" w:lineRule="auto"/>
        <w:ind w:left="543"/>
        <w:jc w:val="center"/>
      </w:pPr>
    </w:p>
    <w:p w:rsidR="00000000" w:rsidRDefault="00BC67ED">
      <w:pPr>
        <w:spacing w:line="480" w:lineRule="auto"/>
        <w:ind w:left="723"/>
        <w:jc w:val="both"/>
        <w:rPr>
          <w:rFonts w:ascii="Arial" w:hAnsi="Arial" w:cs="Arial"/>
        </w:rPr>
      </w:pPr>
      <w:r>
        <w:rPr>
          <w:rFonts w:ascii="Arial" w:hAnsi="Arial" w:cs="Arial"/>
        </w:rPr>
        <w:t>A continuación se presenta la Tabla X, que nos muestra la frecuencia absoluta, la frecuencia absoluta relativa, la frecuencia acumulada absoluta y la frecuencia acumulada absoluta relativa de la variable Ingesta Cá</w:t>
      </w:r>
      <w:r>
        <w:rPr>
          <w:rFonts w:ascii="Arial" w:hAnsi="Arial" w:cs="Arial"/>
        </w:rPr>
        <w:t>ustico.</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lastRenderedPageBreak/>
        <w:t>TABLA X</w:t>
      </w:r>
    </w:p>
    <w:p w:rsidR="00000000" w:rsidRDefault="00BC67ED">
      <w:pPr>
        <w:ind w:left="545"/>
        <w:jc w:val="center"/>
        <w:rPr>
          <w:rFonts w:ascii="Arial" w:hAnsi="Arial" w:cs="Arial"/>
          <w:b/>
        </w:rPr>
      </w:pPr>
      <w:r>
        <w:rPr>
          <w:rFonts w:ascii="Arial" w:hAnsi="Arial" w:cs="Arial"/>
          <w:b/>
          <w:caps/>
        </w:rPr>
        <w:t>pacientes que han padecido</w:t>
      </w:r>
      <w:r>
        <w:rPr>
          <w:rFonts w:ascii="Arial" w:hAnsi="Arial" w:cs="Arial"/>
          <w:b/>
        </w:rPr>
        <w:t xml:space="preserve"> DE INGESTA CÁUSTICO</w:t>
      </w:r>
    </w:p>
    <w:p w:rsidR="00000000" w:rsidRDefault="00BC67ED">
      <w:pPr>
        <w:ind w:left="545"/>
        <w:jc w:val="center"/>
        <w:rPr>
          <w:rFonts w:ascii="Arial" w:hAnsi="Arial" w:cs="Arial"/>
          <w:b/>
        </w:rPr>
      </w:pPr>
      <w:r>
        <w:rPr>
          <w:rFonts w:ascii="Arial" w:hAnsi="Arial" w:cs="Arial"/>
          <w:b/>
        </w:rPr>
        <w:t>(Cáncer de Esófago)</w:t>
      </w:r>
    </w:p>
    <w:tbl>
      <w:tblPr>
        <w:tblpPr w:leftFromText="141" w:rightFromText="141" w:vertAnchor="text" w:horzAnchor="margin" w:tblpY="296"/>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60"/>
        <w:gridCol w:w="660"/>
        <w:gridCol w:w="1200"/>
        <w:gridCol w:w="1760"/>
        <w:gridCol w:w="1800"/>
        <w:gridCol w:w="1870"/>
      </w:tblGrid>
      <w:tr w:rsidR="00000000">
        <w:trPr>
          <w:cantSplit/>
          <w:trHeight w:val="255"/>
        </w:trPr>
        <w:tc>
          <w:tcPr>
            <w:tcW w:w="19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7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8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87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w:t>
            </w:r>
            <w:r>
              <w:rPr>
                <w:rFonts w:ascii="Arial" w:hAnsi="Arial" w:cs="Arial"/>
                <w:b/>
                <w:i/>
                <w:iCs/>
                <w:sz w:val="18"/>
                <w:szCs w:val="18"/>
              </w:rPr>
              <w:t>a                 Absoluta Relativa (Fi/N)</w:t>
            </w:r>
          </w:p>
        </w:tc>
      </w:tr>
      <w:tr w:rsidR="00000000">
        <w:trPr>
          <w:cantSplit/>
          <w:trHeight w:val="255"/>
        </w:trPr>
        <w:tc>
          <w:tcPr>
            <w:tcW w:w="196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760" w:type="dxa"/>
            <w:vMerge/>
            <w:vAlign w:val="center"/>
          </w:tcPr>
          <w:p w:rsidR="00000000" w:rsidRDefault="00BC67ED">
            <w:pPr>
              <w:rPr>
                <w:rFonts w:ascii="Arial" w:hAnsi="Arial" w:cs="Arial"/>
                <w:i/>
                <w:iCs/>
                <w:sz w:val="20"/>
                <w:szCs w:val="20"/>
              </w:rPr>
            </w:pPr>
          </w:p>
        </w:tc>
        <w:tc>
          <w:tcPr>
            <w:tcW w:w="1800" w:type="dxa"/>
            <w:vMerge/>
            <w:vAlign w:val="center"/>
          </w:tcPr>
          <w:p w:rsidR="00000000" w:rsidRDefault="00BC67ED">
            <w:pPr>
              <w:rPr>
                <w:rFonts w:ascii="Arial" w:hAnsi="Arial" w:cs="Arial"/>
                <w:i/>
                <w:iCs/>
                <w:sz w:val="20"/>
                <w:szCs w:val="20"/>
              </w:rPr>
            </w:pPr>
          </w:p>
        </w:tc>
        <w:tc>
          <w:tcPr>
            <w:tcW w:w="1870" w:type="dxa"/>
            <w:vMerge/>
            <w:vAlign w:val="center"/>
          </w:tcPr>
          <w:p w:rsidR="00000000" w:rsidRDefault="00BC67ED">
            <w:pPr>
              <w:rPr>
                <w:rFonts w:ascii="Arial" w:hAnsi="Arial" w:cs="Arial"/>
                <w:i/>
                <w:iCs/>
                <w:sz w:val="20"/>
                <w:szCs w:val="20"/>
              </w:rPr>
            </w:pPr>
          </w:p>
        </w:tc>
      </w:tr>
      <w:tr w:rsidR="00000000">
        <w:trPr>
          <w:trHeight w:val="300"/>
        </w:trPr>
        <w:tc>
          <w:tcPr>
            <w:tcW w:w="196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Tiene Ingesta C.</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8</w:t>
            </w:r>
          </w:p>
        </w:tc>
        <w:tc>
          <w:tcPr>
            <w:tcW w:w="1760" w:type="dxa"/>
            <w:noWrap/>
            <w:vAlign w:val="bottom"/>
          </w:tcPr>
          <w:p w:rsidR="00000000" w:rsidRDefault="00BC67ED">
            <w:pPr>
              <w:jc w:val="center"/>
              <w:rPr>
                <w:rFonts w:ascii="Arial" w:hAnsi="Arial" w:cs="Arial"/>
                <w:i/>
                <w:sz w:val="20"/>
                <w:szCs w:val="20"/>
              </w:rPr>
            </w:pPr>
            <w:r>
              <w:rPr>
                <w:rFonts w:ascii="Arial" w:hAnsi="Arial" w:cs="Arial"/>
                <w:i/>
                <w:sz w:val="20"/>
                <w:szCs w:val="20"/>
              </w:rPr>
              <w:t>6,67%</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8</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6,67%</w:t>
            </w:r>
          </w:p>
        </w:tc>
      </w:tr>
      <w:tr w:rsidR="00000000">
        <w:trPr>
          <w:trHeight w:val="315"/>
        </w:trPr>
        <w:tc>
          <w:tcPr>
            <w:tcW w:w="196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No Tiene Ingesta C.</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112</w:t>
            </w:r>
          </w:p>
        </w:tc>
        <w:tc>
          <w:tcPr>
            <w:tcW w:w="1760" w:type="dxa"/>
            <w:noWrap/>
            <w:vAlign w:val="bottom"/>
          </w:tcPr>
          <w:p w:rsidR="00000000" w:rsidRDefault="00BC67ED">
            <w:pPr>
              <w:jc w:val="center"/>
              <w:rPr>
                <w:rFonts w:ascii="Arial" w:hAnsi="Arial" w:cs="Arial"/>
                <w:i/>
                <w:sz w:val="20"/>
                <w:szCs w:val="20"/>
              </w:rPr>
            </w:pPr>
            <w:r>
              <w:rPr>
                <w:rFonts w:ascii="Arial" w:hAnsi="Arial" w:cs="Arial"/>
                <w:i/>
                <w:sz w:val="20"/>
                <w:szCs w:val="20"/>
              </w:rPr>
              <w:t>93,33%</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480" w:lineRule="auto"/>
        <w:ind w:left="720"/>
        <w:jc w:val="both"/>
        <w:rPr>
          <w:rFonts w:ascii="Arial" w:hAnsi="Arial" w:cs="Arial"/>
          <w:b/>
          <w:i/>
        </w:rPr>
      </w:pPr>
      <w:r>
        <w:rPr>
          <w:rFonts w:ascii="Arial" w:hAnsi="Arial" w:cs="Arial"/>
          <w:b/>
          <w:i/>
        </w:rPr>
        <w:t>Variable # 11: Medicinas</w:t>
      </w:r>
    </w:p>
    <w:p w:rsidR="00000000" w:rsidRDefault="00BC67ED">
      <w:pPr>
        <w:spacing w:line="480" w:lineRule="auto"/>
        <w:ind w:left="723"/>
        <w:jc w:val="both"/>
        <w:rPr>
          <w:rFonts w:ascii="Arial" w:hAnsi="Arial" w:cs="Arial"/>
        </w:rPr>
      </w:pPr>
      <w:r>
        <w:rPr>
          <w:rFonts w:ascii="Arial" w:hAnsi="Arial" w:cs="Arial"/>
        </w:rPr>
        <w:t>Como podemos observar en la figura 3-11 la mayor parte de los pacientes que se han realizado los exá</w:t>
      </w:r>
      <w:r>
        <w:rPr>
          <w:rFonts w:ascii="Arial" w:hAnsi="Arial" w:cs="Arial"/>
        </w:rPr>
        <w:t>menes no ha ingerido medicinas que le puedan causar daños posteriores representando un 80% del total de pacientes, mientras que un 20% de pacientes sufre de daños en el esófago por ciertos tipos de medicinas.</w:t>
      </w:r>
    </w:p>
    <w:p w:rsidR="00000000" w:rsidRDefault="00BC67ED">
      <w:pPr>
        <w:spacing w:line="360" w:lineRule="auto"/>
        <w:ind w:firstLine="708"/>
        <w:jc w:val="center"/>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t xml:space="preserve">FIGURA 3-11 </w:t>
      </w:r>
    </w:p>
    <w:p w:rsidR="00000000" w:rsidRDefault="00BC67ED">
      <w:pPr>
        <w:ind w:firstLine="708"/>
        <w:jc w:val="center"/>
        <w:rPr>
          <w:rFonts w:ascii="Arial" w:hAnsi="Arial" w:cs="Arial"/>
          <w:b/>
        </w:rPr>
      </w:pPr>
      <w:r>
        <w:rPr>
          <w:rFonts w:ascii="Arial" w:hAnsi="Arial" w:cs="Arial"/>
          <w:b/>
        </w:rPr>
        <w:t>HISTOGRAMA DE FRECUENCIA DE MEDIC</w:t>
      </w:r>
      <w:r>
        <w:rPr>
          <w:rFonts w:ascii="Arial" w:hAnsi="Arial" w:cs="Arial"/>
          <w:b/>
        </w:rPr>
        <w:t>INAS</w:t>
      </w:r>
    </w:p>
    <w:p w:rsidR="00000000" w:rsidRDefault="00BC67ED">
      <w:pPr>
        <w:ind w:firstLine="708"/>
        <w:jc w:val="center"/>
        <w:rPr>
          <w:rFonts w:ascii="Arial" w:hAnsi="Arial" w:cs="Arial"/>
          <w:b/>
        </w:rPr>
      </w:pPr>
      <w:r>
        <w:rPr>
          <w:rFonts w:ascii="Arial" w:hAnsi="Arial" w:cs="Arial"/>
          <w:b/>
        </w:rPr>
        <w:t>(Cáncer de Esófago)</w:t>
      </w: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2" name="Objeto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000000" w:rsidRDefault="00BC67ED">
      <w:pPr>
        <w:spacing w:line="480" w:lineRule="auto"/>
        <w:ind w:left="723"/>
        <w:jc w:val="both"/>
        <w:rPr>
          <w:rFonts w:ascii="Arial" w:hAnsi="Arial" w:cs="Arial"/>
        </w:rPr>
      </w:pPr>
      <w:r>
        <w:rPr>
          <w:rFonts w:ascii="Arial" w:hAnsi="Arial" w:cs="Arial"/>
        </w:rPr>
        <w:lastRenderedPageBreak/>
        <w:t>A continuación se presenta la Tabla XI, que nos muestra la frecuencia absoluta, la frecuencia absoluta relativa, la frecuencia acumulada absoluta y la frecuencia acumulada absoluta relativa de la variab</w:t>
      </w:r>
      <w:r>
        <w:rPr>
          <w:rFonts w:ascii="Arial" w:hAnsi="Arial" w:cs="Arial"/>
        </w:rPr>
        <w:t>le medicinas.</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XI</w:t>
      </w:r>
    </w:p>
    <w:p w:rsidR="00000000" w:rsidRDefault="00BC67ED">
      <w:pPr>
        <w:ind w:left="545"/>
        <w:jc w:val="center"/>
        <w:rPr>
          <w:rFonts w:ascii="Arial" w:hAnsi="Arial" w:cs="Arial"/>
          <w:b/>
          <w:caps/>
        </w:rPr>
      </w:pPr>
      <w:r>
        <w:rPr>
          <w:rFonts w:ascii="Arial" w:hAnsi="Arial" w:cs="Arial"/>
          <w:b/>
          <w:caps/>
        </w:rPr>
        <w:t>pacientes QUE haN ingerido medicinas</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
        <w:jc w:val="cente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9"/>
        <w:gridCol w:w="658"/>
        <w:gridCol w:w="1197"/>
        <w:gridCol w:w="1888"/>
        <w:gridCol w:w="1388"/>
        <w:gridCol w:w="2340"/>
      </w:tblGrid>
      <w:tr w:rsidR="00000000">
        <w:trPr>
          <w:cantSplit/>
          <w:trHeight w:val="255"/>
        </w:trPr>
        <w:tc>
          <w:tcPr>
            <w:tcW w:w="1889"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5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197"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88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38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23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 xml:space="preserve">Frecuencia Acumulada </w:t>
            </w:r>
            <w:r>
              <w:rPr>
                <w:rFonts w:ascii="Arial" w:hAnsi="Arial" w:cs="Arial"/>
                <w:b/>
                <w:i/>
                <w:iCs/>
                <w:sz w:val="18"/>
                <w:szCs w:val="18"/>
              </w:rPr>
              <w:t xml:space="preserve">                Absoluta Relativa (Fi/N)</w:t>
            </w:r>
          </w:p>
        </w:tc>
      </w:tr>
      <w:tr w:rsidR="00000000">
        <w:trPr>
          <w:cantSplit/>
          <w:trHeight w:val="255"/>
        </w:trPr>
        <w:tc>
          <w:tcPr>
            <w:tcW w:w="1889" w:type="dxa"/>
            <w:vMerge/>
            <w:vAlign w:val="center"/>
          </w:tcPr>
          <w:p w:rsidR="00000000" w:rsidRDefault="00BC67ED">
            <w:pPr>
              <w:rPr>
                <w:rFonts w:ascii="Arial" w:hAnsi="Arial" w:cs="Arial"/>
                <w:i/>
                <w:iCs/>
                <w:sz w:val="20"/>
                <w:szCs w:val="20"/>
              </w:rPr>
            </w:pPr>
          </w:p>
        </w:tc>
        <w:tc>
          <w:tcPr>
            <w:tcW w:w="658" w:type="dxa"/>
            <w:vMerge/>
            <w:vAlign w:val="center"/>
          </w:tcPr>
          <w:p w:rsidR="00000000" w:rsidRDefault="00BC67ED">
            <w:pPr>
              <w:rPr>
                <w:rFonts w:ascii="Arial" w:hAnsi="Arial" w:cs="Arial"/>
                <w:i/>
                <w:iCs/>
                <w:sz w:val="20"/>
                <w:szCs w:val="20"/>
              </w:rPr>
            </w:pPr>
          </w:p>
        </w:tc>
        <w:tc>
          <w:tcPr>
            <w:tcW w:w="1197" w:type="dxa"/>
            <w:vMerge/>
            <w:vAlign w:val="center"/>
          </w:tcPr>
          <w:p w:rsidR="00000000" w:rsidRDefault="00BC67ED">
            <w:pPr>
              <w:rPr>
                <w:rFonts w:ascii="Arial" w:hAnsi="Arial" w:cs="Arial"/>
                <w:i/>
                <w:iCs/>
                <w:sz w:val="20"/>
                <w:szCs w:val="20"/>
              </w:rPr>
            </w:pPr>
          </w:p>
        </w:tc>
        <w:tc>
          <w:tcPr>
            <w:tcW w:w="1888" w:type="dxa"/>
            <w:vMerge/>
            <w:vAlign w:val="center"/>
          </w:tcPr>
          <w:p w:rsidR="00000000" w:rsidRDefault="00BC67ED">
            <w:pPr>
              <w:rPr>
                <w:rFonts w:ascii="Arial" w:hAnsi="Arial" w:cs="Arial"/>
                <w:i/>
                <w:iCs/>
                <w:sz w:val="20"/>
                <w:szCs w:val="20"/>
              </w:rPr>
            </w:pPr>
          </w:p>
        </w:tc>
        <w:tc>
          <w:tcPr>
            <w:tcW w:w="1388" w:type="dxa"/>
            <w:vMerge/>
            <w:vAlign w:val="center"/>
          </w:tcPr>
          <w:p w:rsidR="00000000" w:rsidRDefault="00BC67ED">
            <w:pPr>
              <w:rPr>
                <w:rFonts w:ascii="Arial" w:hAnsi="Arial" w:cs="Arial"/>
                <w:i/>
                <w:iCs/>
                <w:sz w:val="20"/>
                <w:szCs w:val="20"/>
              </w:rPr>
            </w:pPr>
          </w:p>
        </w:tc>
        <w:tc>
          <w:tcPr>
            <w:tcW w:w="2340" w:type="dxa"/>
            <w:vMerge/>
            <w:vAlign w:val="center"/>
          </w:tcPr>
          <w:p w:rsidR="00000000" w:rsidRDefault="00BC67ED">
            <w:pPr>
              <w:rPr>
                <w:rFonts w:ascii="Arial" w:hAnsi="Arial" w:cs="Arial"/>
                <w:i/>
                <w:iCs/>
                <w:sz w:val="20"/>
                <w:szCs w:val="20"/>
              </w:rPr>
            </w:pPr>
          </w:p>
        </w:tc>
      </w:tr>
      <w:tr w:rsidR="00000000">
        <w:trPr>
          <w:trHeight w:val="300"/>
        </w:trPr>
        <w:tc>
          <w:tcPr>
            <w:tcW w:w="1889"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Toma Medicinas</w:t>
            </w:r>
          </w:p>
        </w:tc>
        <w:tc>
          <w:tcPr>
            <w:tcW w:w="658"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197" w:type="dxa"/>
            <w:noWrap/>
            <w:vAlign w:val="bottom"/>
          </w:tcPr>
          <w:p w:rsidR="00000000" w:rsidRDefault="00BC67ED">
            <w:pPr>
              <w:jc w:val="center"/>
              <w:rPr>
                <w:rFonts w:ascii="Arial" w:hAnsi="Arial" w:cs="Arial"/>
                <w:i/>
                <w:sz w:val="20"/>
                <w:szCs w:val="20"/>
              </w:rPr>
            </w:pPr>
            <w:r>
              <w:rPr>
                <w:rFonts w:ascii="Arial" w:hAnsi="Arial" w:cs="Arial"/>
                <w:i/>
                <w:sz w:val="20"/>
                <w:szCs w:val="20"/>
              </w:rPr>
              <w:t>24</w:t>
            </w:r>
          </w:p>
        </w:tc>
        <w:tc>
          <w:tcPr>
            <w:tcW w:w="1888" w:type="dxa"/>
            <w:noWrap/>
            <w:vAlign w:val="bottom"/>
          </w:tcPr>
          <w:p w:rsidR="00000000" w:rsidRDefault="00BC67ED">
            <w:pPr>
              <w:jc w:val="center"/>
              <w:rPr>
                <w:rFonts w:ascii="Arial" w:hAnsi="Arial" w:cs="Arial"/>
                <w:i/>
                <w:sz w:val="20"/>
                <w:szCs w:val="20"/>
              </w:rPr>
            </w:pPr>
            <w:r>
              <w:rPr>
                <w:rFonts w:ascii="Arial" w:hAnsi="Arial" w:cs="Arial"/>
                <w:i/>
                <w:sz w:val="20"/>
                <w:szCs w:val="20"/>
              </w:rPr>
              <w:t>20,00%</w:t>
            </w:r>
          </w:p>
        </w:tc>
        <w:tc>
          <w:tcPr>
            <w:tcW w:w="1388" w:type="dxa"/>
            <w:noWrap/>
            <w:vAlign w:val="bottom"/>
          </w:tcPr>
          <w:p w:rsidR="00000000" w:rsidRDefault="00BC67ED">
            <w:pPr>
              <w:jc w:val="center"/>
              <w:rPr>
                <w:rFonts w:ascii="Arial" w:hAnsi="Arial" w:cs="Arial"/>
                <w:i/>
                <w:sz w:val="20"/>
                <w:szCs w:val="20"/>
              </w:rPr>
            </w:pPr>
            <w:r>
              <w:rPr>
                <w:rFonts w:ascii="Arial" w:hAnsi="Arial" w:cs="Arial"/>
                <w:i/>
                <w:sz w:val="20"/>
                <w:szCs w:val="20"/>
              </w:rPr>
              <w:t>24</w:t>
            </w:r>
          </w:p>
        </w:tc>
        <w:tc>
          <w:tcPr>
            <w:tcW w:w="2340" w:type="dxa"/>
            <w:noWrap/>
            <w:vAlign w:val="bottom"/>
          </w:tcPr>
          <w:p w:rsidR="00000000" w:rsidRDefault="00BC67ED">
            <w:pPr>
              <w:jc w:val="center"/>
              <w:rPr>
                <w:rFonts w:ascii="Arial" w:hAnsi="Arial" w:cs="Arial"/>
                <w:i/>
                <w:sz w:val="20"/>
                <w:szCs w:val="20"/>
              </w:rPr>
            </w:pPr>
            <w:r>
              <w:rPr>
                <w:rFonts w:ascii="Arial" w:hAnsi="Arial" w:cs="Arial"/>
                <w:i/>
                <w:sz w:val="20"/>
                <w:szCs w:val="20"/>
              </w:rPr>
              <w:t>20,00%</w:t>
            </w:r>
          </w:p>
        </w:tc>
      </w:tr>
      <w:tr w:rsidR="00000000">
        <w:trPr>
          <w:trHeight w:val="315"/>
        </w:trPr>
        <w:tc>
          <w:tcPr>
            <w:tcW w:w="1889" w:type="dxa"/>
            <w:noWrap/>
            <w:vAlign w:val="bottom"/>
          </w:tcPr>
          <w:p w:rsidR="00000000" w:rsidRDefault="00BC67ED">
            <w:pPr>
              <w:jc w:val="center"/>
              <w:rPr>
                <w:rFonts w:ascii="Arial" w:hAnsi="Arial" w:cs="Arial"/>
                <w:bCs/>
                <w:i/>
                <w:iCs/>
                <w:sz w:val="18"/>
                <w:szCs w:val="18"/>
              </w:rPr>
            </w:pPr>
            <w:r>
              <w:rPr>
                <w:rFonts w:ascii="Arial" w:hAnsi="Arial" w:cs="Arial"/>
                <w:bCs/>
                <w:i/>
                <w:iCs/>
                <w:sz w:val="18"/>
                <w:szCs w:val="18"/>
              </w:rPr>
              <w:t>No Toma Medicinas</w:t>
            </w:r>
          </w:p>
        </w:tc>
        <w:tc>
          <w:tcPr>
            <w:tcW w:w="658"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197" w:type="dxa"/>
            <w:noWrap/>
            <w:vAlign w:val="bottom"/>
          </w:tcPr>
          <w:p w:rsidR="00000000" w:rsidRDefault="00BC67ED">
            <w:pPr>
              <w:jc w:val="center"/>
              <w:rPr>
                <w:rFonts w:ascii="Arial" w:hAnsi="Arial" w:cs="Arial"/>
                <w:i/>
                <w:sz w:val="20"/>
                <w:szCs w:val="20"/>
              </w:rPr>
            </w:pPr>
            <w:r>
              <w:rPr>
                <w:rFonts w:ascii="Arial" w:hAnsi="Arial" w:cs="Arial"/>
                <w:i/>
                <w:sz w:val="20"/>
                <w:szCs w:val="20"/>
              </w:rPr>
              <w:t>96</w:t>
            </w:r>
          </w:p>
        </w:tc>
        <w:tc>
          <w:tcPr>
            <w:tcW w:w="1888" w:type="dxa"/>
            <w:noWrap/>
            <w:vAlign w:val="bottom"/>
          </w:tcPr>
          <w:p w:rsidR="00000000" w:rsidRDefault="00BC67ED">
            <w:pPr>
              <w:jc w:val="center"/>
              <w:rPr>
                <w:rFonts w:ascii="Arial" w:hAnsi="Arial" w:cs="Arial"/>
                <w:i/>
                <w:sz w:val="20"/>
                <w:szCs w:val="20"/>
              </w:rPr>
            </w:pPr>
            <w:r>
              <w:rPr>
                <w:rFonts w:ascii="Arial" w:hAnsi="Arial" w:cs="Arial"/>
                <w:i/>
                <w:sz w:val="20"/>
                <w:szCs w:val="20"/>
              </w:rPr>
              <w:t>80,00%</w:t>
            </w:r>
          </w:p>
        </w:tc>
        <w:tc>
          <w:tcPr>
            <w:tcW w:w="1388"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234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3"/>
        <w:jc w:val="center"/>
      </w:pPr>
    </w:p>
    <w:p w:rsidR="00000000" w:rsidRDefault="00BC67ED">
      <w:pPr>
        <w:spacing w:line="360" w:lineRule="auto"/>
        <w:ind w:left="3"/>
        <w:jc w:val="center"/>
        <w:rPr>
          <w:rFonts w:ascii="Courier New" w:hAnsi="Courier New" w:cs="Courier New"/>
          <w:lang w:val="en-US"/>
        </w:rPr>
      </w:pPr>
    </w:p>
    <w:p w:rsidR="00000000" w:rsidRDefault="00BC67ED">
      <w:pPr>
        <w:spacing w:line="360" w:lineRule="auto"/>
        <w:ind w:left="3"/>
        <w:jc w:val="center"/>
        <w:rPr>
          <w:rFonts w:ascii="Courier New" w:hAnsi="Courier New" w:cs="Courier New"/>
          <w:lang w:val="en-US"/>
        </w:rPr>
      </w:pPr>
      <w:r>
        <w:rPr>
          <w:rFonts w:ascii="Courier New" w:hAnsi="Courier New" w:cs="Courier New"/>
          <w:lang w:val="en-US"/>
        </w:rPr>
        <w:t xml:space="preserve">  </w:t>
      </w:r>
    </w:p>
    <w:p w:rsidR="00000000" w:rsidRDefault="00BC67ED">
      <w:pPr>
        <w:spacing w:line="480" w:lineRule="auto"/>
        <w:ind w:left="720"/>
        <w:jc w:val="both"/>
        <w:rPr>
          <w:rFonts w:ascii="Arial" w:hAnsi="Arial" w:cs="Arial"/>
          <w:b/>
          <w:i/>
        </w:rPr>
      </w:pPr>
      <w:r>
        <w:rPr>
          <w:rFonts w:ascii="Arial" w:hAnsi="Arial" w:cs="Arial"/>
          <w:b/>
          <w:i/>
        </w:rPr>
        <w:t>Variable # 12: Esófago de Barret</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Como podemos observar en la figura 3-12 la mayor parte de los pacientes que se han realiza</w:t>
      </w:r>
      <w:r>
        <w:rPr>
          <w:rFonts w:ascii="Arial" w:hAnsi="Arial" w:cs="Arial"/>
        </w:rPr>
        <w:t>do los exámenes no sufre de esófago de barret representando un 96,7% del total de pacientes, mientras que un 3,3% de pacientes sufre de esófago de barret, este porcentaje en los últimos años ha venido en aumento.</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r>
        <w:rPr>
          <w:rFonts w:ascii="Arial" w:hAnsi="Arial" w:cs="Arial"/>
          <w:b/>
        </w:rPr>
        <w:lastRenderedPageBreak/>
        <w:t>FIGURA 3-12</w:t>
      </w:r>
    </w:p>
    <w:p w:rsidR="00000000" w:rsidRDefault="00BC67ED">
      <w:pPr>
        <w:ind w:firstLine="708"/>
        <w:jc w:val="center"/>
        <w:rPr>
          <w:rFonts w:ascii="Arial" w:hAnsi="Arial" w:cs="Arial"/>
          <w:b/>
        </w:rPr>
      </w:pPr>
      <w:r>
        <w:rPr>
          <w:rFonts w:ascii="Arial" w:hAnsi="Arial" w:cs="Arial"/>
          <w:b/>
        </w:rPr>
        <w:t>HISTOGRAMA DE FRECUENCIA DE</w:t>
      </w:r>
    </w:p>
    <w:p w:rsidR="00000000" w:rsidRDefault="00BC67ED">
      <w:pPr>
        <w:ind w:firstLine="708"/>
        <w:jc w:val="center"/>
        <w:rPr>
          <w:rFonts w:ascii="Arial" w:hAnsi="Arial" w:cs="Arial"/>
          <w:b/>
        </w:rPr>
      </w:pPr>
      <w:r>
        <w:rPr>
          <w:rFonts w:ascii="Arial" w:hAnsi="Arial" w:cs="Arial"/>
          <w:b/>
        </w:rPr>
        <w:t>ESÓFAGO DE BARRET</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3" name="Objeto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000000" w:rsidRDefault="00BC67ED">
      <w:pPr>
        <w:spacing w:line="360" w:lineRule="auto"/>
        <w:ind w:left="3"/>
        <w:jc w:val="center"/>
      </w:pPr>
    </w:p>
    <w:p w:rsidR="00000000" w:rsidRDefault="00BC67ED">
      <w:pPr>
        <w:spacing w:line="480" w:lineRule="auto"/>
        <w:ind w:left="723"/>
        <w:jc w:val="both"/>
        <w:rPr>
          <w:rFonts w:ascii="Arial" w:hAnsi="Arial" w:cs="Arial"/>
        </w:rPr>
      </w:pPr>
      <w:r>
        <w:rPr>
          <w:rFonts w:ascii="Arial" w:hAnsi="Arial" w:cs="Arial"/>
        </w:rPr>
        <w:t>A continuación se presenta Tabla XII, que nos muestra la frecuencia absoluta, la frecuencia absoluta relativa, la frecuencia acumulada absoluta y la frecuencia acumulada absoluta relativa</w:t>
      </w:r>
      <w:r>
        <w:rPr>
          <w:rFonts w:ascii="Arial" w:hAnsi="Arial" w:cs="Arial"/>
        </w:rPr>
        <w:t xml:space="preserve"> de la variable esófago de barret.</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XII</w:t>
      </w:r>
    </w:p>
    <w:p w:rsidR="00000000" w:rsidRDefault="00BC67ED">
      <w:pPr>
        <w:ind w:left="545"/>
        <w:jc w:val="center"/>
        <w:rPr>
          <w:rFonts w:ascii="Arial" w:hAnsi="Arial" w:cs="Arial"/>
          <w:b/>
          <w:caps/>
        </w:rPr>
      </w:pPr>
      <w:r>
        <w:rPr>
          <w:rFonts w:ascii="Arial" w:hAnsi="Arial" w:cs="Arial"/>
          <w:b/>
          <w:caps/>
        </w:rPr>
        <w:t>pacientes que Padecen de</w:t>
      </w:r>
    </w:p>
    <w:p w:rsidR="00000000" w:rsidRDefault="00BC67ED">
      <w:pPr>
        <w:ind w:left="545"/>
        <w:jc w:val="center"/>
        <w:rPr>
          <w:rFonts w:ascii="Arial" w:hAnsi="Arial" w:cs="Arial"/>
          <w:b/>
          <w:caps/>
        </w:rPr>
      </w:pPr>
      <w:r>
        <w:rPr>
          <w:rFonts w:ascii="Arial" w:hAnsi="Arial" w:cs="Arial"/>
          <w:b/>
          <w:caps/>
        </w:rPr>
        <w:t xml:space="preserve"> esófago de barret</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899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0"/>
        <w:gridCol w:w="674"/>
        <w:gridCol w:w="1200"/>
        <w:gridCol w:w="1940"/>
        <w:gridCol w:w="1660"/>
        <w:gridCol w:w="2160"/>
      </w:tblGrid>
      <w:tr w:rsidR="00000000">
        <w:trPr>
          <w:cantSplit/>
          <w:trHeight w:val="255"/>
        </w:trPr>
        <w:tc>
          <w:tcPr>
            <w:tcW w:w="13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74"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9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w:t>
            </w:r>
            <w:r>
              <w:rPr>
                <w:rFonts w:ascii="Arial" w:hAnsi="Arial" w:cs="Arial"/>
                <w:b/>
                <w:i/>
                <w:iCs/>
                <w:sz w:val="18"/>
                <w:szCs w:val="18"/>
              </w:rPr>
              <w:t>a (Fi)</w:t>
            </w:r>
          </w:p>
        </w:tc>
        <w:tc>
          <w:tcPr>
            <w:tcW w:w="21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1360" w:type="dxa"/>
            <w:vMerge/>
            <w:vAlign w:val="center"/>
          </w:tcPr>
          <w:p w:rsidR="00000000" w:rsidRDefault="00BC67ED">
            <w:pPr>
              <w:rPr>
                <w:rFonts w:ascii="Arial" w:hAnsi="Arial" w:cs="Arial"/>
                <w:i/>
                <w:iCs/>
                <w:sz w:val="20"/>
                <w:szCs w:val="20"/>
              </w:rPr>
            </w:pPr>
          </w:p>
        </w:tc>
        <w:tc>
          <w:tcPr>
            <w:tcW w:w="674"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940" w:type="dxa"/>
            <w:vMerge/>
            <w:vAlign w:val="center"/>
          </w:tcPr>
          <w:p w:rsidR="00000000" w:rsidRDefault="00BC67ED">
            <w:pPr>
              <w:rPr>
                <w:rFonts w:ascii="Arial" w:hAnsi="Arial" w:cs="Arial"/>
                <w:i/>
                <w:iCs/>
                <w:sz w:val="20"/>
                <w:szCs w:val="20"/>
              </w:rPr>
            </w:pPr>
          </w:p>
        </w:tc>
        <w:tc>
          <w:tcPr>
            <w:tcW w:w="1660" w:type="dxa"/>
            <w:vMerge/>
            <w:vAlign w:val="center"/>
          </w:tcPr>
          <w:p w:rsidR="00000000" w:rsidRDefault="00BC67ED">
            <w:pPr>
              <w:rPr>
                <w:rFonts w:ascii="Arial" w:hAnsi="Arial" w:cs="Arial"/>
                <w:i/>
                <w:iCs/>
                <w:sz w:val="20"/>
                <w:szCs w:val="20"/>
              </w:rPr>
            </w:pPr>
          </w:p>
        </w:tc>
        <w:tc>
          <w:tcPr>
            <w:tcW w:w="2160" w:type="dxa"/>
            <w:vMerge/>
            <w:vAlign w:val="center"/>
          </w:tcPr>
          <w:p w:rsidR="00000000" w:rsidRDefault="00BC67ED">
            <w:pPr>
              <w:rPr>
                <w:rFonts w:ascii="Arial" w:hAnsi="Arial" w:cs="Arial"/>
                <w:i/>
                <w:iCs/>
                <w:sz w:val="20"/>
                <w:szCs w:val="20"/>
              </w:rPr>
            </w:pPr>
          </w:p>
        </w:tc>
      </w:tr>
      <w:tr w:rsidR="00000000">
        <w:trPr>
          <w:trHeight w:val="255"/>
        </w:trPr>
        <w:tc>
          <w:tcPr>
            <w:tcW w:w="136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E. Barret (+)</w:t>
            </w:r>
          </w:p>
        </w:tc>
        <w:tc>
          <w:tcPr>
            <w:tcW w:w="674"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4</w:t>
            </w:r>
          </w:p>
        </w:tc>
        <w:tc>
          <w:tcPr>
            <w:tcW w:w="1940" w:type="dxa"/>
            <w:noWrap/>
            <w:vAlign w:val="bottom"/>
          </w:tcPr>
          <w:p w:rsidR="00000000" w:rsidRDefault="00BC67ED">
            <w:pPr>
              <w:jc w:val="center"/>
              <w:rPr>
                <w:rFonts w:ascii="Arial" w:hAnsi="Arial" w:cs="Arial"/>
                <w:i/>
                <w:sz w:val="20"/>
                <w:szCs w:val="20"/>
              </w:rPr>
            </w:pPr>
            <w:r>
              <w:rPr>
                <w:rFonts w:ascii="Arial" w:hAnsi="Arial" w:cs="Arial"/>
                <w:i/>
                <w:sz w:val="20"/>
                <w:szCs w:val="20"/>
              </w:rPr>
              <w:t>3,33%</w:t>
            </w:r>
          </w:p>
        </w:tc>
        <w:tc>
          <w:tcPr>
            <w:tcW w:w="1660" w:type="dxa"/>
            <w:noWrap/>
            <w:vAlign w:val="bottom"/>
          </w:tcPr>
          <w:p w:rsidR="00000000" w:rsidRDefault="00BC67ED">
            <w:pPr>
              <w:jc w:val="center"/>
              <w:rPr>
                <w:rFonts w:ascii="Arial" w:hAnsi="Arial" w:cs="Arial"/>
                <w:i/>
                <w:sz w:val="20"/>
                <w:szCs w:val="20"/>
              </w:rPr>
            </w:pPr>
            <w:r>
              <w:rPr>
                <w:rFonts w:ascii="Arial" w:hAnsi="Arial" w:cs="Arial"/>
                <w:i/>
                <w:sz w:val="20"/>
                <w:szCs w:val="20"/>
              </w:rPr>
              <w:t>4</w:t>
            </w:r>
          </w:p>
        </w:tc>
        <w:tc>
          <w:tcPr>
            <w:tcW w:w="2160" w:type="dxa"/>
            <w:noWrap/>
            <w:vAlign w:val="bottom"/>
          </w:tcPr>
          <w:p w:rsidR="00000000" w:rsidRDefault="00BC67ED">
            <w:pPr>
              <w:jc w:val="center"/>
              <w:rPr>
                <w:rFonts w:ascii="Arial" w:hAnsi="Arial" w:cs="Arial"/>
                <w:i/>
                <w:sz w:val="20"/>
                <w:szCs w:val="20"/>
              </w:rPr>
            </w:pPr>
            <w:r>
              <w:rPr>
                <w:rFonts w:ascii="Arial" w:hAnsi="Arial" w:cs="Arial"/>
                <w:i/>
                <w:sz w:val="20"/>
                <w:szCs w:val="20"/>
              </w:rPr>
              <w:t>3,33%</w:t>
            </w:r>
          </w:p>
        </w:tc>
      </w:tr>
      <w:tr w:rsidR="00000000">
        <w:trPr>
          <w:trHeight w:val="270"/>
        </w:trPr>
        <w:tc>
          <w:tcPr>
            <w:tcW w:w="136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E. Barret (-)</w:t>
            </w:r>
          </w:p>
        </w:tc>
        <w:tc>
          <w:tcPr>
            <w:tcW w:w="674"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116</w:t>
            </w:r>
          </w:p>
        </w:tc>
        <w:tc>
          <w:tcPr>
            <w:tcW w:w="1940" w:type="dxa"/>
            <w:noWrap/>
            <w:vAlign w:val="bottom"/>
          </w:tcPr>
          <w:p w:rsidR="00000000" w:rsidRDefault="00BC67ED">
            <w:pPr>
              <w:jc w:val="center"/>
              <w:rPr>
                <w:rFonts w:ascii="Arial" w:hAnsi="Arial" w:cs="Arial"/>
                <w:i/>
                <w:sz w:val="20"/>
                <w:szCs w:val="20"/>
              </w:rPr>
            </w:pPr>
            <w:r>
              <w:rPr>
                <w:rFonts w:ascii="Arial" w:hAnsi="Arial" w:cs="Arial"/>
                <w:i/>
                <w:sz w:val="20"/>
                <w:szCs w:val="20"/>
              </w:rPr>
              <w:t>96,67%</w:t>
            </w:r>
          </w:p>
        </w:tc>
        <w:tc>
          <w:tcPr>
            <w:tcW w:w="166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216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lastRenderedPageBreak/>
        <w:t>Informe Endoscopico y / o Antecedentes</w:t>
      </w:r>
    </w:p>
    <w:p w:rsidR="00000000" w:rsidRDefault="00BC67ED">
      <w:pPr>
        <w:ind w:left="3"/>
        <w:jc w:val="both"/>
        <w:rPr>
          <w:rFonts w:ascii="Arial" w:hAnsi="Arial" w:cs="Arial"/>
        </w:rPr>
      </w:pPr>
    </w:p>
    <w:p w:rsidR="00000000" w:rsidRDefault="00BC67ED">
      <w:pPr>
        <w:spacing w:line="480" w:lineRule="auto"/>
        <w:ind w:left="720"/>
        <w:jc w:val="both"/>
        <w:rPr>
          <w:rFonts w:ascii="Arial" w:hAnsi="Arial" w:cs="Arial"/>
          <w:b/>
          <w:i/>
        </w:rPr>
      </w:pPr>
      <w:r>
        <w:rPr>
          <w:rFonts w:ascii="Arial" w:hAnsi="Arial" w:cs="Arial"/>
          <w:b/>
          <w:i/>
        </w:rPr>
        <w:t>Variable # 13: RGE (Reflujo Gastroesofagico)</w:t>
      </w:r>
    </w:p>
    <w:p w:rsidR="00000000" w:rsidRDefault="00BC67ED">
      <w:pPr>
        <w:spacing w:line="480" w:lineRule="auto"/>
        <w:ind w:left="723"/>
        <w:jc w:val="both"/>
        <w:rPr>
          <w:rFonts w:ascii="Arial" w:hAnsi="Arial" w:cs="Arial"/>
        </w:rPr>
      </w:pPr>
      <w:r>
        <w:rPr>
          <w:rFonts w:ascii="Arial" w:hAnsi="Arial" w:cs="Arial"/>
        </w:rPr>
        <w:t>Como podemos observar e</w:t>
      </w:r>
      <w:r>
        <w:rPr>
          <w:rFonts w:ascii="Arial" w:hAnsi="Arial" w:cs="Arial"/>
        </w:rPr>
        <w:t>n la figura 3-13 la mayor parte de los pacientes que se han realizado los exámenes no sufren de RGE el cual representa el 89,2% del total de pacientes, mientras que un 10,8% de pacientes sufren de RGE, el padecimiento de esta enfermedad es muy peligrosa ya</w:t>
      </w:r>
      <w:r>
        <w:rPr>
          <w:rFonts w:ascii="Arial" w:hAnsi="Arial" w:cs="Arial"/>
        </w:rPr>
        <w:t xml:space="preserve"> que esta ligado al esófago de barret.</w:t>
      </w: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r>
        <w:rPr>
          <w:rFonts w:ascii="Arial" w:hAnsi="Arial" w:cs="Arial"/>
          <w:b/>
        </w:rPr>
        <w:t>FIGURA 3-13</w:t>
      </w:r>
    </w:p>
    <w:p w:rsidR="00000000" w:rsidRDefault="00BC67ED">
      <w:pPr>
        <w:ind w:firstLine="708"/>
        <w:jc w:val="center"/>
        <w:rPr>
          <w:rFonts w:ascii="Arial" w:hAnsi="Arial" w:cs="Arial"/>
          <w:b/>
        </w:rPr>
      </w:pPr>
      <w:r>
        <w:rPr>
          <w:rFonts w:ascii="Arial" w:hAnsi="Arial" w:cs="Arial"/>
          <w:b/>
        </w:rPr>
        <w:t>HISTOGRAMA DE FRECUENCIA DE R.G.E.</w:t>
      </w:r>
    </w:p>
    <w:p w:rsidR="00000000" w:rsidRDefault="00BC67ED">
      <w:pPr>
        <w:ind w:firstLine="708"/>
        <w:jc w:val="center"/>
        <w:rPr>
          <w:rFonts w:ascii="Arial" w:hAnsi="Arial" w:cs="Arial"/>
          <w:b/>
        </w:rPr>
      </w:pPr>
      <w:r>
        <w:rPr>
          <w:rFonts w:ascii="Arial" w:hAnsi="Arial" w:cs="Arial"/>
          <w:b/>
        </w:rPr>
        <w:t>(Cáncer de Esófago)</w:t>
      </w: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4" name="Objeto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000000" w:rsidRDefault="00BC67ED">
      <w:pPr>
        <w:spacing w:line="360" w:lineRule="auto"/>
        <w:ind w:left="543"/>
        <w:jc w:val="center"/>
      </w:pPr>
    </w:p>
    <w:p w:rsidR="00000000" w:rsidRDefault="00BC67ED">
      <w:pPr>
        <w:spacing w:line="480" w:lineRule="auto"/>
        <w:ind w:left="723"/>
        <w:jc w:val="center"/>
        <w:rPr>
          <w:rFonts w:ascii="Arial" w:hAnsi="Arial" w:cs="Arial"/>
        </w:rPr>
      </w:pPr>
    </w:p>
    <w:p w:rsidR="00000000" w:rsidRDefault="00BC67ED">
      <w:pPr>
        <w:spacing w:line="480" w:lineRule="auto"/>
        <w:ind w:left="723"/>
        <w:jc w:val="both"/>
        <w:rPr>
          <w:rFonts w:ascii="Arial" w:hAnsi="Arial" w:cs="Arial"/>
        </w:rPr>
      </w:pPr>
      <w:r>
        <w:rPr>
          <w:rFonts w:ascii="Arial" w:hAnsi="Arial" w:cs="Arial"/>
        </w:rPr>
        <w:t xml:space="preserve">A continuación se presenta la Tabla XIII, que nos muestra la frecuencia absoluta, la frecuencia absoluta relativa, la </w:t>
      </w:r>
      <w:r>
        <w:rPr>
          <w:rFonts w:ascii="Arial" w:hAnsi="Arial" w:cs="Arial"/>
        </w:rPr>
        <w:t xml:space="preserve">frecuencia </w:t>
      </w:r>
      <w:r>
        <w:rPr>
          <w:rFonts w:ascii="Arial" w:hAnsi="Arial" w:cs="Arial"/>
        </w:rPr>
        <w:lastRenderedPageBreak/>
        <w:t>acumulada absoluta y la frecuencia acumulada absoluta relativa de la variable R.G.E.</w:t>
      </w:r>
    </w:p>
    <w:p w:rsidR="00000000" w:rsidRDefault="00BC67ED">
      <w:pPr>
        <w:spacing w:line="480" w:lineRule="auto"/>
        <w:ind w:left="723"/>
        <w:jc w:val="both"/>
        <w:rPr>
          <w:rFonts w:ascii="Arial" w:hAnsi="Arial" w:cs="Arial"/>
        </w:rPr>
      </w:pPr>
      <w:r>
        <w:rPr>
          <w:rFonts w:ascii="Arial" w:hAnsi="Arial" w:cs="Arial"/>
        </w:rPr>
        <w:t xml:space="preserve">. </w:t>
      </w:r>
    </w:p>
    <w:p w:rsidR="00000000" w:rsidRDefault="00BC67ED">
      <w:pPr>
        <w:spacing w:line="360" w:lineRule="auto"/>
        <w:ind w:left="545"/>
        <w:jc w:val="center"/>
        <w:rPr>
          <w:rFonts w:ascii="Arial" w:hAnsi="Arial" w:cs="Arial"/>
          <w:b/>
        </w:rPr>
      </w:pPr>
      <w:r>
        <w:rPr>
          <w:rFonts w:ascii="Arial" w:hAnsi="Arial" w:cs="Arial"/>
          <w:b/>
        </w:rPr>
        <w:t>TABLA XIII</w:t>
      </w:r>
    </w:p>
    <w:p w:rsidR="00000000" w:rsidRDefault="00BC67ED">
      <w:pPr>
        <w:ind w:left="545"/>
        <w:jc w:val="center"/>
        <w:rPr>
          <w:rFonts w:ascii="Arial" w:hAnsi="Arial" w:cs="Arial"/>
          <w:b/>
          <w:caps/>
        </w:rPr>
      </w:pPr>
      <w:r>
        <w:rPr>
          <w:rFonts w:ascii="Arial" w:hAnsi="Arial" w:cs="Arial"/>
          <w:b/>
          <w:caps/>
        </w:rPr>
        <w:t>pacientes con R. G. E.</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00"/>
        <w:gridCol w:w="660"/>
        <w:gridCol w:w="1200"/>
        <w:gridCol w:w="1920"/>
        <w:gridCol w:w="1780"/>
        <w:gridCol w:w="1980"/>
      </w:tblGrid>
      <w:tr w:rsidR="00000000">
        <w:trPr>
          <w:cantSplit/>
          <w:trHeight w:val="255"/>
        </w:trPr>
        <w:tc>
          <w:tcPr>
            <w:tcW w:w="20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9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7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w:t>
            </w:r>
            <w:r>
              <w:rPr>
                <w:rFonts w:ascii="Arial" w:hAnsi="Arial" w:cs="Arial"/>
                <w:b/>
                <w:i/>
                <w:iCs/>
                <w:sz w:val="18"/>
                <w:szCs w:val="18"/>
              </w:rPr>
              <w:t>recuencia Acumulada                 Absoluta (Fi)</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00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920" w:type="dxa"/>
            <w:vMerge/>
            <w:vAlign w:val="center"/>
          </w:tcPr>
          <w:p w:rsidR="00000000" w:rsidRDefault="00BC67ED">
            <w:pPr>
              <w:rPr>
                <w:rFonts w:ascii="Arial" w:hAnsi="Arial" w:cs="Arial"/>
                <w:i/>
                <w:iCs/>
                <w:sz w:val="20"/>
                <w:szCs w:val="20"/>
              </w:rPr>
            </w:pPr>
          </w:p>
        </w:tc>
        <w:tc>
          <w:tcPr>
            <w:tcW w:w="1780"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r>
      <w:tr w:rsidR="00000000">
        <w:trPr>
          <w:trHeight w:val="300"/>
        </w:trPr>
        <w:tc>
          <w:tcPr>
            <w:tcW w:w="20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Sufre de R.G.E.</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13</w:t>
            </w:r>
          </w:p>
        </w:tc>
        <w:tc>
          <w:tcPr>
            <w:tcW w:w="1920" w:type="dxa"/>
            <w:noWrap/>
            <w:vAlign w:val="bottom"/>
          </w:tcPr>
          <w:p w:rsidR="00000000" w:rsidRDefault="00BC67ED">
            <w:pPr>
              <w:jc w:val="center"/>
              <w:rPr>
                <w:rFonts w:ascii="Arial" w:hAnsi="Arial" w:cs="Arial"/>
                <w:i/>
                <w:sz w:val="20"/>
                <w:szCs w:val="20"/>
              </w:rPr>
            </w:pPr>
            <w:r>
              <w:rPr>
                <w:rFonts w:ascii="Arial" w:hAnsi="Arial" w:cs="Arial"/>
                <w:i/>
                <w:sz w:val="20"/>
                <w:szCs w:val="20"/>
              </w:rPr>
              <w:t>10,83%</w:t>
            </w:r>
          </w:p>
        </w:tc>
        <w:tc>
          <w:tcPr>
            <w:tcW w:w="1780" w:type="dxa"/>
            <w:noWrap/>
            <w:vAlign w:val="bottom"/>
          </w:tcPr>
          <w:p w:rsidR="00000000" w:rsidRDefault="00BC67ED">
            <w:pPr>
              <w:jc w:val="center"/>
              <w:rPr>
                <w:rFonts w:ascii="Arial" w:hAnsi="Arial" w:cs="Arial"/>
                <w:i/>
                <w:sz w:val="20"/>
                <w:szCs w:val="20"/>
              </w:rPr>
            </w:pPr>
            <w:r>
              <w:rPr>
                <w:rFonts w:ascii="Arial" w:hAnsi="Arial" w:cs="Arial"/>
                <w:i/>
                <w:sz w:val="20"/>
                <w:szCs w:val="20"/>
              </w:rPr>
              <w:t>13</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10,83%</w:t>
            </w:r>
          </w:p>
        </w:tc>
      </w:tr>
      <w:tr w:rsidR="00000000">
        <w:trPr>
          <w:trHeight w:val="315"/>
        </w:trPr>
        <w:tc>
          <w:tcPr>
            <w:tcW w:w="20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 xml:space="preserve"> No Sufre de R.G.E.</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107</w:t>
            </w:r>
          </w:p>
        </w:tc>
        <w:tc>
          <w:tcPr>
            <w:tcW w:w="1920" w:type="dxa"/>
            <w:noWrap/>
            <w:vAlign w:val="bottom"/>
          </w:tcPr>
          <w:p w:rsidR="00000000" w:rsidRDefault="00BC67ED">
            <w:pPr>
              <w:jc w:val="center"/>
              <w:rPr>
                <w:rFonts w:ascii="Arial" w:hAnsi="Arial" w:cs="Arial"/>
                <w:i/>
                <w:sz w:val="20"/>
                <w:szCs w:val="20"/>
              </w:rPr>
            </w:pPr>
            <w:r>
              <w:rPr>
                <w:rFonts w:ascii="Arial" w:hAnsi="Arial" w:cs="Arial"/>
                <w:i/>
                <w:sz w:val="20"/>
                <w:szCs w:val="20"/>
              </w:rPr>
              <w:t>89,17%</w:t>
            </w:r>
          </w:p>
        </w:tc>
        <w:tc>
          <w:tcPr>
            <w:tcW w:w="178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360" w:lineRule="auto"/>
        <w:ind w:left="543"/>
        <w:jc w:val="center"/>
      </w:pPr>
    </w:p>
    <w:p w:rsidR="00000000" w:rsidRDefault="00BC67ED">
      <w:pPr>
        <w:spacing w:line="480" w:lineRule="auto"/>
        <w:ind w:left="720"/>
        <w:jc w:val="both"/>
        <w:rPr>
          <w:rFonts w:ascii="Arial" w:hAnsi="Arial" w:cs="Arial"/>
          <w:b/>
          <w:i/>
        </w:rPr>
      </w:pPr>
      <w:r>
        <w:rPr>
          <w:rFonts w:ascii="Arial" w:hAnsi="Arial" w:cs="Arial"/>
          <w:b/>
          <w:i/>
        </w:rPr>
        <w:t>Variable # 14: Acalasia</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Como podemos observar en la</w:t>
      </w:r>
      <w:r>
        <w:rPr>
          <w:rFonts w:ascii="Arial" w:hAnsi="Arial" w:cs="Arial"/>
        </w:rPr>
        <w:t xml:space="preserve"> figura 3-14 la mayor parte de los pacientes que se han realizado los exámenes no sufren de acalasia la cual representa el 97,5% del total de pacientes, mientras que un 2,5% de pacientes sufren de este mal, el padecimiento de esta enfermedad es muy peligro</w:t>
      </w:r>
      <w:r>
        <w:rPr>
          <w:rFonts w:ascii="Arial" w:hAnsi="Arial" w:cs="Arial"/>
        </w:rPr>
        <w:t>sa ya que la persona no esta en capacidad de digerir bien los alimentos y esto provocaría efectos secundarios.</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r>
        <w:rPr>
          <w:rFonts w:ascii="Arial" w:hAnsi="Arial" w:cs="Arial"/>
          <w:b/>
        </w:rPr>
        <w:lastRenderedPageBreak/>
        <w:t>FIGURA 3-14</w:t>
      </w:r>
    </w:p>
    <w:p w:rsidR="00000000" w:rsidRDefault="00BC67ED">
      <w:pPr>
        <w:ind w:firstLine="708"/>
        <w:jc w:val="center"/>
        <w:rPr>
          <w:rFonts w:ascii="Arial" w:hAnsi="Arial" w:cs="Arial"/>
          <w:b/>
        </w:rPr>
      </w:pPr>
      <w:r>
        <w:rPr>
          <w:rFonts w:ascii="Arial" w:hAnsi="Arial" w:cs="Arial"/>
          <w:b/>
        </w:rPr>
        <w:t>HISTOGRAMA DE FRECUENCIA DE ACALASIA</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5" name="Objeto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000000" w:rsidRDefault="00BC67ED">
      <w:pPr>
        <w:spacing w:line="360" w:lineRule="auto"/>
        <w:ind w:left="543"/>
        <w:jc w:val="center"/>
      </w:pPr>
    </w:p>
    <w:p w:rsidR="00000000" w:rsidRDefault="00BC67ED">
      <w:pPr>
        <w:spacing w:line="480" w:lineRule="auto"/>
        <w:ind w:left="723"/>
        <w:jc w:val="both"/>
        <w:rPr>
          <w:rFonts w:ascii="Arial" w:hAnsi="Arial" w:cs="Arial"/>
        </w:rPr>
      </w:pPr>
      <w:r>
        <w:rPr>
          <w:rFonts w:ascii="Arial" w:hAnsi="Arial" w:cs="Arial"/>
        </w:rPr>
        <w:t>A continuación se presenta la Tabla XIV,</w:t>
      </w:r>
      <w:r>
        <w:rPr>
          <w:rFonts w:ascii="Arial" w:hAnsi="Arial" w:cs="Arial"/>
        </w:rPr>
        <w:t xml:space="preserve"> que nos muestra la frecuencia absoluta, la frecuencia absoluta relativa, la frecuencia acumulada absoluta y la frecuencia acumulada absoluta relativa de la variable acalasia.</w:t>
      </w:r>
    </w:p>
    <w:p w:rsidR="00000000" w:rsidRDefault="00BC67ED">
      <w:pPr>
        <w:spacing w:line="360" w:lineRule="auto"/>
        <w:ind w:left="543"/>
        <w:jc w:val="center"/>
      </w:pPr>
    </w:p>
    <w:p w:rsidR="00000000" w:rsidRDefault="00BC67ED">
      <w:pPr>
        <w:spacing w:line="360" w:lineRule="auto"/>
        <w:ind w:left="545"/>
        <w:jc w:val="center"/>
        <w:rPr>
          <w:rFonts w:ascii="Arial" w:hAnsi="Arial" w:cs="Arial"/>
          <w:b/>
        </w:rPr>
      </w:pPr>
      <w:r>
        <w:rPr>
          <w:rFonts w:ascii="Arial" w:hAnsi="Arial" w:cs="Arial"/>
          <w:b/>
        </w:rPr>
        <w:t>TABLA XIV</w:t>
      </w:r>
    </w:p>
    <w:p w:rsidR="00000000" w:rsidRDefault="00BC67ED">
      <w:pPr>
        <w:ind w:left="545"/>
        <w:jc w:val="center"/>
        <w:rPr>
          <w:rFonts w:ascii="Arial" w:hAnsi="Arial" w:cs="Arial"/>
          <w:b/>
          <w:caps/>
        </w:rPr>
      </w:pPr>
      <w:r>
        <w:rPr>
          <w:rFonts w:ascii="Arial" w:hAnsi="Arial" w:cs="Arial"/>
          <w:b/>
          <w:caps/>
        </w:rPr>
        <w:t>pacientes con Acalasia</w:t>
      </w:r>
    </w:p>
    <w:p w:rsidR="00000000" w:rsidRDefault="00BC67ED">
      <w:pPr>
        <w:ind w:left="545"/>
        <w:jc w:val="center"/>
        <w:rPr>
          <w:rFonts w:ascii="Arial" w:hAnsi="Arial" w:cs="Arial"/>
          <w:b/>
        </w:rPr>
      </w:pPr>
      <w:r>
        <w:rPr>
          <w:rFonts w:ascii="Arial" w:hAnsi="Arial" w:cs="Arial"/>
          <w:b/>
        </w:rPr>
        <w:t>(Cáncer de Esófago)</w:t>
      </w:r>
    </w:p>
    <w:p w:rsidR="00000000" w:rsidRDefault="00BC67ED">
      <w:pPr>
        <w:ind w:left="545"/>
        <w:jc w:val="center"/>
        <w:rPr>
          <w:rFonts w:ascii="Arial" w:hAnsi="Arial" w:cs="Arial"/>
          <w:b/>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0"/>
        <w:gridCol w:w="660"/>
        <w:gridCol w:w="1200"/>
        <w:gridCol w:w="1360"/>
        <w:gridCol w:w="1980"/>
        <w:gridCol w:w="1870"/>
      </w:tblGrid>
      <w:tr w:rsidR="00000000">
        <w:trPr>
          <w:cantSplit/>
          <w:trHeight w:val="255"/>
        </w:trPr>
        <w:tc>
          <w:tcPr>
            <w:tcW w:w="21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w:t>
            </w:r>
            <w:r>
              <w:rPr>
                <w:rFonts w:ascii="Arial" w:hAnsi="Arial" w:cs="Arial"/>
                <w:b/>
                <w:i/>
                <w:iCs/>
                <w:sz w:val="18"/>
                <w:szCs w:val="18"/>
              </w:rPr>
              <w:t>cia       Absoluta (fi)</w:t>
            </w:r>
          </w:p>
        </w:tc>
        <w:tc>
          <w:tcPr>
            <w:tcW w:w="13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87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18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360"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c>
          <w:tcPr>
            <w:tcW w:w="1870" w:type="dxa"/>
            <w:vMerge/>
            <w:vAlign w:val="center"/>
          </w:tcPr>
          <w:p w:rsidR="00000000" w:rsidRDefault="00BC67ED">
            <w:pPr>
              <w:rPr>
                <w:rFonts w:ascii="Arial" w:hAnsi="Arial" w:cs="Arial"/>
                <w:i/>
                <w:iCs/>
                <w:sz w:val="20"/>
                <w:szCs w:val="20"/>
              </w:rPr>
            </w:pPr>
          </w:p>
        </w:tc>
      </w:tr>
      <w:tr w:rsidR="00000000">
        <w:trPr>
          <w:trHeight w:val="300"/>
        </w:trPr>
        <w:tc>
          <w:tcPr>
            <w:tcW w:w="218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Sufre de Acalasia</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3</w:t>
            </w:r>
          </w:p>
        </w:tc>
        <w:tc>
          <w:tcPr>
            <w:tcW w:w="1360" w:type="dxa"/>
            <w:noWrap/>
            <w:vAlign w:val="bottom"/>
          </w:tcPr>
          <w:p w:rsidR="00000000" w:rsidRDefault="00BC67ED">
            <w:pPr>
              <w:jc w:val="center"/>
              <w:rPr>
                <w:rFonts w:ascii="Arial" w:hAnsi="Arial" w:cs="Arial"/>
                <w:i/>
                <w:sz w:val="20"/>
                <w:szCs w:val="20"/>
              </w:rPr>
            </w:pPr>
            <w:r>
              <w:rPr>
                <w:rFonts w:ascii="Arial" w:hAnsi="Arial" w:cs="Arial"/>
                <w:i/>
                <w:sz w:val="20"/>
                <w:szCs w:val="20"/>
              </w:rPr>
              <w:t>2,50%</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3</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2,50%</w:t>
            </w:r>
          </w:p>
        </w:tc>
      </w:tr>
      <w:tr w:rsidR="00000000">
        <w:trPr>
          <w:trHeight w:val="315"/>
        </w:trPr>
        <w:tc>
          <w:tcPr>
            <w:tcW w:w="218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 xml:space="preserve"> No Sufre de Acalasia</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117</w:t>
            </w:r>
          </w:p>
        </w:tc>
        <w:tc>
          <w:tcPr>
            <w:tcW w:w="1360" w:type="dxa"/>
            <w:noWrap/>
            <w:vAlign w:val="bottom"/>
          </w:tcPr>
          <w:p w:rsidR="00000000" w:rsidRDefault="00BC67ED">
            <w:pPr>
              <w:jc w:val="center"/>
              <w:rPr>
                <w:rFonts w:ascii="Arial" w:hAnsi="Arial" w:cs="Arial"/>
                <w:i/>
                <w:sz w:val="20"/>
                <w:szCs w:val="20"/>
              </w:rPr>
            </w:pPr>
            <w:r>
              <w:rPr>
                <w:rFonts w:ascii="Arial" w:hAnsi="Arial" w:cs="Arial"/>
                <w:i/>
                <w:sz w:val="20"/>
                <w:szCs w:val="20"/>
              </w:rPr>
              <w:t>97,50%</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ind w:left="545"/>
        <w:jc w:val="center"/>
        <w:rPr>
          <w:rFonts w:ascii="Arial" w:hAnsi="Arial" w:cs="Arial"/>
          <w:b/>
        </w:rPr>
      </w:pPr>
    </w:p>
    <w:p w:rsidR="00000000" w:rsidRDefault="00BC67ED">
      <w:pPr>
        <w:spacing w:line="360" w:lineRule="auto"/>
        <w:ind w:left="543"/>
        <w:jc w:val="center"/>
      </w:pPr>
    </w:p>
    <w:p w:rsidR="00000000" w:rsidRDefault="00BC67ED">
      <w:pPr>
        <w:spacing w:line="360" w:lineRule="auto"/>
        <w:ind w:left="543"/>
        <w:jc w:val="center"/>
      </w:pPr>
    </w:p>
    <w:p w:rsidR="00000000" w:rsidRDefault="00BC67ED">
      <w:pPr>
        <w:spacing w:line="480" w:lineRule="auto"/>
        <w:ind w:left="720"/>
        <w:jc w:val="both"/>
        <w:rPr>
          <w:rFonts w:ascii="Arial" w:hAnsi="Arial" w:cs="Arial"/>
          <w:b/>
          <w:i/>
        </w:rPr>
      </w:pPr>
      <w:r>
        <w:rPr>
          <w:rFonts w:ascii="Arial" w:hAnsi="Arial" w:cs="Arial"/>
          <w:b/>
          <w:i/>
        </w:rPr>
        <w:lastRenderedPageBreak/>
        <w:t>Variable # 15: Enfermedades Venéreas</w:t>
      </w:r>
    </w:p>
    <w:p w:rsidR="00000000" w:rsidRDefault="00BC67ED">
      <w:pPr>
        <w:spacing w:line="480" w:lineRule="auto"/>
        <w:ind w:left="723"/>
        <w:jc w:val="both"/>
        <w:rPr>
          <w:rFonts w:ascii="Arial" w:hAnsi="Arial" w:cs="Arial"/>
        </w:rPr>
      </w:pPr>
      <w:r>
        <w:rPr>
          <w:rFonts w:ascii="Arial" w:hAnsi="Arial" w:cs="Arial"/>
        </w:rPr>
        <w:t>Como podemos observar en la figura 3-15 la mayor parte de los pacientes que se han realizado los exámenes no han padecido de este tipo de enfermedades el cual representa el 95% del total de pac</w:t>
      </w:r>
      <w:r>
        <w:rPr>
          <w:rFonts w:ascii="Arial" w:hAnsi="Arial" w:cs="Arial"/>
        </w:rPr>
        <w:t xml:space="preserve">ientes, mientras que un 5% de pacientes han sufrido de este mal. </w:t>
      </w:r>
    </w:p>
    <w:p w:rsidR="00000000" w:rsidRDefault="00BC67ED">
      <w:pPr>
        <w:spacing w:line="480" w:lineRule="auto"/>
        <w:ind w:left="720"/>
        <w:jc w:val="both"/>
        <w:rPr>
          <w:rFonts w:ascii="Arial" w:hAnsi="Arial" w:cs="Arial"/>
        </w:rPr>
      </w:pPr>
    </w:p>
    <w:p w:rsidR="00000000" w:rsidRDefault="00BC67ED">
      <w:pPr>
        <w:spacing w:line="360" w:lineRule="auto"/>
        <w:ind w:firstLine="708"/>
        <w:jc w:val="center"/>
        <w:rPr>
          <w:rFonts w:ascii="Arial" w:hAnsi="Arial" w:cs="Arial"/>
          <w:b/>
        </w:rPr>
      </w:pPr>
      <w:r>
        <w:rPr>
          <w:rFonts w:ascii="Arial" w:hAnsi="Arial" w:cs="Arial"/>
          <w:b/>
        </w:rPr>
        <w:t xml:space="preserve">FIGURA 3-15 </w:t>
      </w:r>
    </w:p>
    <w:p w:rsidR="00000000" w:rsidRDefault="00BC67ED">
      <w:pPr>
        <w:ind w:firstLine="708"/>
        <w:jc w:val="center"/>
        <w:rPr>
          <w:rFonts w:ascii="Arial" w:hAnsi="Arial" w:cs="Arial"/>
          <w:b/>
        </w:rPr>
      </w:pPr>
      <w:r>
        <w:rPr>
          <w:rFonts w:ascii="Arial" w:hAnsi="Arial" w:cs="Arial"/>
          <w:b/>
        </w:rPr>
        <w:t>HISTOGRAMA DE FRECUENCIA DE</w:t>
      </w:r>
    </w:p>
    <w:p w:rsidR="00000000" w:rsidRDefault="00BC67ED">
      <w:pPr>
        <w:ind w:firstLine="708"/>
        <w:jc w:val="center"/>
        <w:rPr>
          <w:rFonts w:ascii="Arial" w:hAnsi="Arial" w:cs="Arial"/>
          <w:b/>
        </w:rPr>
      </w:pPr>
      <w:r>
        <w:rPr>
          <w:rFonts w:ascii="Arial" w:hAnsi="Arial" w:cs="Arial"/>
          <w:b/>
        </w:rPr>
        <w:t>ENFERMEDADES VENÉREAS</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63" w:firstLine="345"/>
        <w:jc w:val="center"/>
      </w:pPr>
      <w:r>
        <w:rPr>
          <w:noProof/>
          <w:lang w:val="es-ES" w:eastAsia="es-ES"/>
        </w:rPr>
        <w:drawing>
          <wp:inline distT="0" distB="0" distL="0" distR="0">
            <wp:extent cx="4110990" cy="2662555"/>
            <wp:effectExtent l="0" t="0" r="0" b="0"/>
            <wp:docPr id="136" name="Objeto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000000" w:rsidRDefault="00BC67ED">
      <w:pPr>
        <w:spacing w:line="360" w:lineRule="auto"/>
        <w:ind w:left="543"/>
        <w:jc w:val="center"/>
      </w:pPr>
    </w:p>
    <w:p w:rsidR="00000000" w:rsidRDefault="00BC67ED">
      <w:pPr>
        <w:spacing w:line="480" w:lineRule="auto"/>
        <w:ind w:left="723"/>
        <w:jc w:val="both"/>
        <w:rPr>
          <w:rFonts w:ascii="Arial" w:hAnsi="Arial" w:cs="Arial"/>
        </w:rPr>
      </w:pPr>
      <w:r>
        <w:rPr>
          <w:rFonts w:ascii="Arial" w:hAnsi="Arial" w:cs="Arial"/>
        </w:rPr>
        <w:t>A continuación se presenta la Tabla XV, que nos muestra la frecuencia absol</w:t>
      </w:r>
      <w:r>
        <w:rPr>
          <w:rFonts w:ascii="Arial" w:hAnsi="Arial" w:cs="Arial"/>
        </w:rPr>
        <w:t>uta, la frecuencia absoluta relativa, la frecuencia acumulada absoluta y la frecuencia acumulada absoluta relativa de la variable enfermedades venéreas.</w:t>
      </w:r>
    </w:p>
    <w:p w:rsidR="00000000" w:rsidRDefault="00BC67ED">
      <w:pPr>
        <w:spacing w:line="360" w:lineRule="auto"/>
        <w:ind w:left="543"/>
        <w:jc w:val="center"/>
      </w:pPr>
    </w:p>
    <w:p w:rsidR="00000000" w:rsidRDefault="00BC67ED">
      <w:pPr>
        <w:spacing w:line="360" w:lineRule="auto"/>
        <w:ind w:left="545"/>
        <w:jc w:val="center"/>
        <w:rPr>
          <w:rFonts w:ascii="Arial" w:hAnsi="Arial" w:cs="Arial"/>
          <w:b/>
        </w:rPr>
      </w:pPr>
      <w:r>
        <w:rPr>
          <w:rFonts w:ascii="Arial" w:hAnsi="Arial" w:cs="Arial"/>
          <w:b/>
        </w:rPr>
        <w:lastRenderedPageBreak/>
        <w:t>TABLA XV</w:t>
      </w:r>
    </w:p>
    <w:p w:rsidR="00000000" w:rsidRDefault="00BC67ED">
      <w:pPr>
        <w:ind w:left="545"/>
        <w:jc w:val="center"/>
        <w:rPr>
          <w:rFonts w:ascii="Arial" w:hAnsi="Arial" w:cs="Arial"/>
          <w:b/>
          <w:caps/>
        </w:rPr>
      </w:pPr>
      <w:r>
        <w:rPr>
          <w:rFonts w:ascii="Arial" w:hAnsi="Arial" w:cs="Arial"/>
          <w:b/>
          <w:caps/>
        </w:rPr>
        <w:t xml:space="preserve">pacientes QUE SUFRIERON </w:t>
      </w:r>
    </w:p>
    <w:p w:rsidR="00000000" w:rsidRDefault="00BC67ED">
      <w:pPr>
        <w:ind w:left="545"/>
        <w:jc w:val="center"/>
        <w:rPr>
          <w:rFonts w:ascii="Arial" w:hAnsi="Arial" w:cs="Arial"/>
          <w:b/>
          <w:caps/>
        </w:rPr>
      </w:pPr>
      <w:r>
        <w:rPr>
          <w:rFonts w:ascii="Arial" w:hAnsi="Arial" w:cs="Arial"/>
          <w:b/>
          <w:caps/>
        </w:rPr>
        <w:t>de ENFERMEDADES VENÉREAS</w:t>
      </w:r>
    </w:p>
    <w:p w:rsidR="00000000" w:rsidRDefault="00BC67ED">
      <w:pPr>
        <w:ind w:left="545"/>
        <w:jc w:val="center"/>
        <w:rPr>
          <w:rFonts w:ascii="Arial" w:hAnsi="Arial" w:cs="Arial"/>
          <w:b/>
        </w:rPr>
      </w:pPr>
      <w:r>
        <w:rPr>
          <w:rFonts w:ascii="Arial" w:hAnsi="Arial" w:cs="Arial"/>
          <w:b/>
        </w:rPr>
        <w:t>(Cáncer de Esófago)</w:t>
      </w:r>
    </w:p>
    <w:p w:rsidR="00000000" w:rsidRDefault="00BC67ED">
      <w:pPr>
        <w:ind w:left="545"/>
        <w:jc w:val="center"/>
        <w:rPr>
          <w:rFonts w:ascii="Arial" w:hAnsi="Arial" w:cs="Arial"/>
          <w:b/>
        </w:rPr>
      </w:pP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00"/>
        <w:gridCol w:w="660"/>
        <w:gridCol w:w="1200"/>
        <w:gridCol w:w="1960"/>
        <w:gridCol w:w="1500"/>
        <w:gridCol w:w="1628"/>
      </w:tblGrid>
      <w:tr w:rsidR="00000000">
        <w:trPr>
          <w:cantSplit/>
          <w:trHeight w:val="255"/>
        </w:trPr>
        <w:tc>
          <w:tcPr>
            <w:tcW w:w="26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w:t>
            </w:r>
            <w:r>
              <w:rPr>
                <w:rFonts w:ascii="Arial" w:hAnsi="Arial" w:cs="Arial"/>
                <w:b/>
                <w:i/>
                <w:iCs/>
                <w:sz w:val="18"/>
                <w:szCs w:val="18"/>
              </w:rPr>
              <w:t>uencia       Absoluta (fi)</w:t>
            </w:r>
          </w:p>
        </w:tc>
        <w:tc>
          <w:tcPr>
            <w:tcW w:w="19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5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62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60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960" w:type="dxa"/>
            <w:vMerge/>
            <w:vAlign w:val="center"/>
          </w:tcPr>
          <w:p w:rsidR="00000000" w:rsidRDefault="00BC67ED">
            <w:pPr>
              <w:rPr>
                <w:rFonts w:ascii="Arial" w:hAnsi="Arial" w:cs="Arial"/>
                <w:i/>
                <w:iCs/>
                <w:sz w:val="20"/>
                <w:szCs w:val="20"/>
              </w:rPr>
            </w:pPr>
          </w:p>
        </w:tc>
        <w:tc>
          <w:tcPr>
            <w:tcW w:w="1500" w:type="dxa"/>
            <w:vMerge/>
            <w:vAlign w:val="center"/>
          </w:tcPr>
          <w:p w:rsidR="00000000" w:rsidRDefault="00BC67ED">
            <w:pPr>
              <w:rPr>
                <w:rFonts w:ascii="Arial" w:hAnsi="Arial" w:cs="Arial"/>
                <w:i/>
                <w:iCs/>
                <w:sz w:val="20"/>
                <w:szCs w:val="20"/>
              </w:rPr>
            </w:pPr>
          </w:p>
        </w:tc>
        <w:tc>
          <w:tcPr>
            <w:tcW w:w="1628" w:type="dxa"/>
            <w:vMerge/>
            <w:vAlign w:val="center"/>
          </w:tcPr>
          <w:p w:rsidR="00000000" w:rsidRDefault="00BC67ED">
            <w:pPr>
              <w:rPr>
                <w:rFonts w:ascii="Arial" w:hAnsi="Arial" w:cs="Arial"/>
                <w:i/>
                <w:iCs/>
                <w:sz w:val="20"/>
                <w:szCs w:val="20"/>
              </w:rPr>
            </w:pPr>
          </w:p>
        </w:tc>
      </w:tr>
      <w:tr w:rsidR="00000000">
        <w:trPr>
          <w:trHeight w:val="300"/>
        </w:trPr>
        <w:tc>
          <w:tcPr>
            <w:tcW w:w="26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Han Sufrido de Enf. V.</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6</w:t>
            </w:r>
          </w:p>
        </w:tc>
        <w:tc>
          <w:tcPr>
            <w:tcW w:w="1960" w:type="dxa"/>
            <w:noWrap/>
            <w:vAlign w:val="bottom"/>
          </w:tcPr>
          <w:p w:rsidR="00000000" w:rsidRDefault="00BC67ED">
            <w:pPr>
              <w:jc w:val="center"/>
              <w:rPr>
                <w:rFonts w:ascii="Arial" w:hAnsi="Arial" w:cs="Arial"/>
                <w:i/>
                <w:sz w:val="20"/>
                <w:szCs w:val="20"/>
              </w:rPr>
            </w:pPr>
            <w:r>
              <w:rPr>
                <w:rFonts w:ascii="Arial" w:hAnsi="Arial" w:cs="Arial"/>
                <w:i/>
                <w:sz w:val="20"/>
                <w:szCs w:val="20"/>
              </w:rPr>
              <w:t>5,00%</w:t>
            </w:r>
          </w:p>
        </w:tc>
        <w:tc>
          <w:tcPr>
            <w:tcW w:w="1500" w:type="dxa"/>
            <w:noWrap/>
            <w:vAlign w:val="bottom"/>
          </w:tcPr>
          <w:p w:rsidR="00000000" w:rsidRDefault="00BC67ED">
            <w:pPr>
              <w:jc w:val="center"/>
              <w:rPr>
                <w:rFonts w:ascii="Arial" w:hAnsi="Arial" w:cs="Arial"/>
                <w:i/>
                <w:sz w:val="20"/>
                <w:szCs w:val="20"/>
              </w:rPr>
            </w:pPr>
            <w:r>
              <w:rPr>
                <w:rFonts w:ascii="Arial" w:hAnsi="Arial" w:cs="Arial"/>
                <w:i/>
                <w:sz w:val="20"/>
                <w:szCs w:val="20"/>
              </w:rPr>
              <w:t>6</w:t>
            </w:r>
          </w:p>
        </w:tc>
        <w:tc>
          <w:tcPr>
            <w:tcW w:w="1628" w:type="dxa"/>
            <w:noWrap/>
            <w:vAlign w:val="bottom"/>
          </w:tcPr>
          <w:p w:rsidR="00000000" w:rsidRDefault="00BC67ED">
            <w:pPr>
              <w:jc w:val="center"/>
              <w:rPr>
                <w:rFonts w:ascii="Arial" w:hAnsi="Arial" w:cs="Arial"/>
                <w:i/>
                <w:sz w:val="20"/>
                <w:szCs w:val="20"/>
              </w:rPr>
            </w:pPr>
            <w:r>
              <w:rPr>
                <w:rFonts w:ascii="Arial" w:hAnsi="Arial" w:cs="Arial"/>
                <w:i/>
                <w:sz w:val="20"/>
                <w:szCs w:val="20"/>
              </w:rPr>
              <w:t>5,00%</w:t>
            </w:r>
          </w:p>
        </w:tc>
      </w:tr>
      <w:tr w:rsidR="00000000">
        <w:trPr>
          <w:trHeight w:val="315"/>
        </w:trPr>
        <w:tc>
          <w:tcPr>
            <w:tcW w:w="26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No Han Sufrido</w:t>
            </w:r>
            <w:r>
              <w:rPr>
                <w:rFonts w:ascii="Arial" w:hAnsi="Arial" w:cs="Arial"/>
                <w:bCs/>
                <w:i/>
                <w:iCs/>
                <w:sz w:val="20"/>
                <w:szCs w:val="20"/>
              </w:rPr>
              <w:t xml:space="preserve"> de Enf. V.</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114</w:t>
            </w:r>
          </w:p>
        </w:tc>
        <w:tc>
          <w:tcPr>
            <w:tcW w:w="1960" w:type="dxa"/>
            <w:noWrap/>
            <w:vAlign w:val="bottom"/>
          </w:tcPr>
          <w:p w:rsidR="00000000" w:rsidRDefault="00BC67ED">
            <w:pPr>
              <w:jc w:val="center"/>
              <w:rPr>
                <w:rFonts w:ascii="Arial" w:hAnsi="Arial" w:cs="Arial"/>
                <w:i/>
                <w:sz w:val="20"/>
                <w:szCs w:val="20"/>
              </w:rPr>
            </w:pPr>
            <w:r>
              <w:rPr>
                <w:rFonts w:ascii="Arial" w:hAnsi="Arial" w:cs="Arial"/>
                <w:i/>
                <w:sz w:val="20"/>
                <w:szCs w:val="20"/>
              </w:rPr>
              <w:t>95,00%</w:t>
            </w:r>
          </w:p>
        </w:tc>
        <w:tc>
          <w:tcPr>
            <w:tcW w:w="150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628"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480" w:lineRule="auto"/>
        <w:ind w:left="720"/>
        <w:jc w:val="both"/>
        <w:rPr>
          <w:rFonts w:ascii="Arial" w:hAnsi="Arial" w:cs="Arial"/>
          <w:b/>
          <w:i/>
        </w:rPr>
      </w:pPr>
      <w:r>
        <w:rPr>
          <w:rFonts w:ascii="Arial" w:hAnsi="Arial" w:cs="Arial"/>
          <w:b/>
          <w:i/>
        </w:rPr>
        <w:t>Variable # 16: Cirugías</w:t>
      </w:r>
    </w:p>
    <w:p w:rsidR="00000000" w:rsidRDefault="00BC67ED">
      <w:pPr>
        <w:spacing w:line="480" w:lineRule="auto"/>
        <w:ind w:left="723"/>
        <w:jc w:val="both"/>
        <w:rPr>
          <w:rFonts w:ascii="Arial" w:hAnsi="Arial" w:cs="Arial"/>
        </w:rPr>
      </w:pPr>
      <w:r>
        <w:rPr>
          <w:rFonts w:ascii="Arial" w:hAnsi="Arial" w:cs="Arial"/>
        </w:rPr>
        <w:t>Como podemos observar en la figura 3-16 la mayor parte de los pacientes que se han realizado los exámenes se les pudo comprobar que han tenido alguna cirugía y este porcentaje representa el 73% de</w:t>
      </w:r>
      <w:r>
        <w:rPr>
          <w:rFonts w:ascii="Arial" w:hAnsi="Arial" w:cs="Arial"/>
        </w:rPr>
        <w:t xml:space="preserve">l total de pacientes, mientras que un 28% de pacientes no han tenido ninguna intervención quirúrgica. </w:t>
      </w:r>
    </w:p>
    <w:p w:rsidR="00000000" w:rsidRDefault="00BC67ED">
      <w:pPr>
        <w:spacing w:line="360" w:lineRule="auto"/>
        <w:ind w:left="543"/>
        <w:jc w:val="center"/>
        <w:rPr>
          <w:rFonts w:ascii="Arial" w:hAnsi="Arial" w:cs="Arial"/>
          <w:b/>
        </w:rPr>
      </w:pPr>
      <w:r>
        <w:rPr>
          <w:rFonts w:ascii="Arial" w:hAnsi="Arial" w:cs="Arial"/>
          <w:b/>
        </w:rPr>
        <w:t>FIGURA 3-16</w:t>
      </w:r>
    </w:p>
    <w:p w:rsidR="00000000" w:rsidRDefault="00BC67ED">
      <w:pPr>
        <w:ind w:left="543"/>
        <w:jc w:val="center"/>
        <w:rPr>
          <w:rFonts w:ascii="Arial" w:hAnsi="Arial" w:cs="Arial"/>
          <w:b/>
        </w:rPr>
      </w:pPr>
      <w:r>
        <w:rPr>
          <w:rFonts w:ascii="Arial" w:hAnsi="Arial" w:cs="Arial"/>
          <w:b/>
        </w:rPr>
        <w:t>HISTOGRAMA DE FRECUENCIA DE CIRUGÍA</w:t>
      </w:r>
    </w:p>
    <w:p w:rsidR="00000000" w:rsidRDefault="00BC67ED">
      <w:pPr>
        <w:ind w:left="543"/>
        <w:jc w:val="center"/>
        <w:rPr>
          <w:rFonts w:ascii="Arial" w:hAnsi="Arial" w:cs="Arial"/>
          <w:b/>
        </w:rPr>
      </w:pPr>
      <w:r>
        <w:rPr>
          <w:rFonts w:ascii="Arial" w:hAnsi="Arial" w:cs="Arial"/>
          <w:b/>
        </w:rPr>
        <w:t>(Cáncer de Esófago)</w:t>
      </w:r>
    </w:p>
    <w:p w:rsidR="00000000" w:rsidRDefault="00BC67ED">
      <w:pPr>
        <w:ind w:left="543"/>
        <w:jc w:val="center"/>
        <w:rPr>
          <w:rFonts w:ascii="Arial" w:hAnsi="Arial" w:cs="Arial"/>
          <w:b/>
        </w:rPr>
      </w:pPr>
    </w:p>
    <w:p w:rsidR="00000000" w:rsidRDefault="00221239">
      <w:pPr>
        <w:spacing w:line="360" w:lineRule="auto"/>
        <w:ind w:left="363" w:firstLine="180"/>
        <w:jc w:val="center"/>
      </w:pPr>
      <w:r>
        <w:rPr>
          <w:noProof/>
          <w:lang w:val="es-ES" w:eastAsia="es-ES"/>
        </w:rPr>
        <w:drawing>
          <wp:inline distT="0" distB="0" distL="0" distR="0">
            <wp:extent cx="4110990" cy="2662555"/>
            <wp:effectExtent l="0" t="0" r="0" b="0"/>
            <wp:docPr id="137" name="Objeto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000000" w:rsidRDefault="00BC67ED">
      <w:pPr>
        <w:spacing w:line="480" w:lineRule="auto"/>
        <w:ind w:left="723"/>
        <w:jc w:val="both"/>
        <w:rPr>
          <w:rFonts w:ascii="Arial" w:hAnsi="Arial" w:cs="Arial"/>
        </w:rPr>
      </w:pPr>
      <w:r>
        <w:rPr>
          <w:rFonts w:ascii="Arial" w:hAnsi="Arial" w:cs="Arial"/>
        </w:rPr>
        <w:lastRenderedPageBreak/>
        <w:t>A continuación se presenta la Tabla XVI, que nos muestr</w:t>
      </w:r>
      <w:r>
        <w:rPr>
          <w:rFonts w:ascii="Arial" w:hAnsi="Arial" w:cs="Arial"/>
        </w:rPr>
        <w:t>a la frecuencia absoluta, la frecuencia absoluta relativa, la frecuencia acumulada absoluta y la frecuencia acumulada absoluta relativa de la variable cirugía.</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XVI</w:t>
      </w:r>
    </w:p>
    <w:p w:rsidR="00000000" w:rsidRDefault="00BC67ED">
      <w:pPr>
        <w:ind w:left="545"/>
        <w:jc w:val="center"/>
        <w:rPr>
          <w:rFonts w:ascii="Arial" w:hAnsi="Arial" w:cs="Arial"/>
          <w:b/>
          <w:caps/>
        </w:rPr>
      </w:pPr>
      <w:r>
        <w:rPr>
          <w:rFonts w:ascii="Arial" w:hAnsi="Arial" w:cs="Arial"/>
          <w:b/>
          <w:caps/>
        </w:rPr>
        <w:t>pacientes QUE SE HAN SOMETIDO A</w:t>
      </w:r>
    </w:p>
    <w:p w:rsidR="00000000" w:rsidRDefault="00BC67ED">
      <w:pPr>
        <w:ind w:left="545"/>
        <w:jc w:val="center"/>
        <w:rPr>
          <w:rFonts w:ascii="Arial" w:hAnsi="Arial" w:cs="Arial"/>
          <w:b/>
          <w:caps/>
        </w:rPr>
      </w:pPr>
      <w:r>
        <w:rPr>
          <w:rFonts w:ascii="Arial" w:hAnsi="Arial" w:cs="Arial"/>
          <w:b/>
          <w:caps/>
        </w:rPr>
        <w:t xml:space="preserve"> CIRUGIA</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0"/>
        <w:gridCol w:w="660"/>
        <w:gridCol w:w="1200"/>
        <w:gridCol w:w="1600"/>
        <w:gridCol w:w="1620"/>
        <w:gridCol w:w="1878"/>
      </w:tblGrid>
      <w:tr w:rsidR="00000000">
        <w:trPr>
          <w:cantSplit/>
          <w:trHeight w:val="255"/>
        </w:trPr>
        <w:tc>
          <w:tcPr>
            <w:tcW w:w="23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w:t>
            </w:r>
            <w:r>
              <w:rPr>
                <w:rFonts w:ascii="Arial" w:hAnsi="Arial" w:cs="Arial"/>
                <w:b/>
                <w:i/>
                <w:iCs/>
                <w:sz w:val="18"/>
                <w:szCs w:val="18"/>
              </w:rPr>
              <w:t>encia       Absoluta (fi)</w:t>
            </w:r>
          </w:p>
        </w:tc>
        <w:tc>
          <w:tcPr>
            <w:tcW w:w="16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878"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30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600" w:type="dxa"/>
            <w:vMerge/>
            <w:vAlign w:val="center"/>
          </w:tcPr>
          <w:p w:rsidR="00000000" w:rsidRDefault="00BC67ED">
            <w:pPr>
              <w:rPr>
                <w:rFonts w:ascii="Arial" w:hAnsi="Arial" w:cs="Arial"/>
                <w:i/>
                <w:iCs/>
                <w:sz w:val="20"/>
                <w:szCs w:val="20"/>
              </w:rPr>
            </w:pPr>
          </w:p>
        </w:tc>
        <w:tc>
          <w:tcPr>
            <w:tcW w:w="1620" w:type="dxa"/>
            <w:vMerge/>
            <w:vAlign w:val="center"/>
          </w:tcPr>
          <w:p w:rsidR="00000000" w:rsidRDefault="00BC67ED">
            <w:pPr>
              <w:rPr>
                <w:rFonts w:ascii="Arial" w:hAnsi="Arial" w:cs="Arial"/>
                <w:i/>
                <w:iCs/>
                <w:sz w:val="20"/>
                <w:szCs w:val="20"/>
              </w:rPr>
            </w:pPr>
          </w:p>
        </w:tc>
        <w:tc>
          <w:tcPr>
            <w:tcW w:w="1878" w:type="dxa"/>
            <w:vMerge/>
            <w:vAlign w:val="center"/>
          </w:tcPr>
          <w:p w:rsidR="00000000" w:rsidRDefault="00BC67ED">
            <w:pPr>
              <w:rPr>
                <w:rFonts w:ascii="Arial" w:hAnsi="Arial" w:cs="Arial"/>
                <w:i/>
                <w:iCs/>
                <w:sz w:val="20"/>
                <w:szCs w:val="20"/>
              </w:rPr>
            </w:pPr>
          </w:p>
        </w:tc>
      </w:tr>
      <w:tr w:rsidR="00000000">
        <w:trPr>
          <w:trHeight w:val="300"/>
        </w:trPr>
        <w:tc>
          <w:tcPr>
            <w:tcW w:w="23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Se han Operado</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87</w:t>
            </w:r>
          </w:p>
        </w:tc>
        <w:tc>
          <w:tcPr>
            <w:tcW w:w="1600" w:type="dxa"/>
            <w:noWrap/>
            <w:vAlign w:val="bottom"/>
          </w:tcPr>
          <w:p w:rsidR="00000000" w:rsidRDefault="00BC67ED">
            <w:pPr>
              <w:jc w:val="center"/>
              <w:rPr>
                <w:rFonts w:ascii="Arial" w:hAnsi="Arial" w:cs="Arial"/>
                <w:i/>
                <w:sz w:val="20"/>
                <w:szCs w:val="20"/>
              </w:rPr>
            </w:pPr>
            <w:r>
              <w:rPr>
                <w:rFonts w:ascii="Arial" w:hAnsi="Arial" w:cs="Arial"/>
                <w:i/>
                <w:sz w:val="20"/>
                <w:szCs w:val="20"/>
              </w:rPr>
              <w:t>72,50%</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87</w:t>
            </w:r>
          </w:p>
        </w:tc>
        <w:tc>
          <w:tcPr>
            <w:tcW w:w="1878" w:type="dxa"/>
            <w:noWrap/>
            <w:vAlign w:val="bottom"/>
          </w:tcPr>
          <w:p w:rsidR="00000000" w:rsidRDefault="00BC67ED">
            <w:pPr>
              <w:jc w:val="center"/>
              <w:rPr>
                <w:rFonts w:ascii="Arial" w:hAnsi="Arial" w:cs="Arial"/>
                <w:i/>
                <w:sz w:val="20"/>
                <w:szCs w:val="20"/>
              </w:rPr>
            </w:pPr>
            <w:r>
              <w:rPr>
                <w:rFonts w:ascii="Arial" w:hAnsi="Arial" w:cs="Arial"/>
                <w:i/>
                <w:sz w:val="20"/>
                <w:szCs w:val="20"/>
              </w:rPr>
              <w:t>72,50%</w:t>
            </w:r>
          </w:p>
        </w:tc>
      </w:tr>
      <w:tr w:rsidR="00000000">
        <w:trPr>
          <w:trHeight w:val="315"/>
        </w:trPr>
        <w:tc>
          <w:tcPr>
            <w:tcW w:w="23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Nunca se han Operad</w:t>
            </w:r>
            <w:r>
              <w:rPr>
                <w:rFonts w:ascii="Arial" w:hAnsi="Arial" w:cs="Arial"/>
                <w:bCs/>
                <w:i/>
                <w:iCs/>
                <w:sz w:val="20"/>
                <w:szCs w:val="20"/>
              </w:rPr>
              <w:t>o</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33</w:t>
            </w:r>
          </w:p>
        </w:tc>
        <w:tc>
          <w:tcPr>
            <w:tcW w:w="1600" w:type="dxa"/>
            <w:noWrap/>
            <w:vAlign w:val="bottom"/>
          </w:tcPr>
          <w:p w:rsidR="00000000" w:rsidRDefault="00BC67ED">
            <w:pPr>
              <w:jc w:val="center"/>
              <w:rPr>
                <w:rFonts w:ascii="Arial" w:hAnsi="Arial" w:cs="Arial"/>
                <w:i/>
                <w:sz w:val="20"/>
                <w:szCs w:val="20"/>
              </w:rPr>
            </w:pPr>
            <w:r>
              <w:rPr>
                <w:rFonts w:ascii="Arial" w:hAnsi="Arial" w:cs="Arial"/>
                <w:i/>
                <w:sz w:val="20"/>
                <w:szCs w:val="20"/>
              </w:rPr>
              <w:t>27,50%</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78"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b/>
          <w:i/>
        </w:rPr>
      </w:pPr>
      <w:r>
        <w:rPr>
          <w:rFonts w:ascii="Arial" w:hAnsi="Arial" w:cs="Arial"/>
          <w:b/>
          <w:i/>
        </w:rPr>
        <w:t>Variable # 17: Cáncer Epidermoide</w:t>
      </w:r>
    </w:p>
    <w:p w:rsidR="00000000" w:rsidRDefault="00BC67ED">
      <w:pPr>
        <w:spacing w:line="480" w:lineRule="auto"/>
        <w:ind w:left="723"/>
        <w:jc w:val="both"/>
        <w:rPr>
          <w:rFonts w:ascii="Arial" w:hAnsi="Arial" w:cs="Arial"/>
        </w:rPr>
      </w:pPr>
      <w:r>
        <w:rPr>
          <w:rFonts w:ascii="Arial" w:hAnsi="Arial" w:cs="Arial"/>
        </w:rPr>
        <w:t>Como podemos observar en la figura 3-17 la mayor parte de los pacientes que se han realizado los exámenes se les pudo comprobar que tienen cáncer epidermoide y este porcentaje representa el 98% de</w:t>
      </w:r>
      <w:r>
        <w:rPr>
          <w:rFonts w:ascii="Arial" w:hAnsi="Arial" w:cs="Arial"/>
        </w:rPr>
        <w:t>l total de pacientes, mientras que un 1,7% de pacientes se les pudo confirmar la existencia de cáncer epidermoide, esta confirmación se debe a que no han tenido conocimiento de lo que significa la prevención del cáncer del esófago.</w:t>
      </w:r>
    </w:p>
    <w:p w:rsidR="00000000" w:rsidRDefault="00BC67ED">
      <w:pPr>
        <w:spacing w:line="480" w:lineRule="auto"/>
        <w:ind w:left="720"/>
        <w:jc w:val="both"/>
        <w:rPr>
          <w:rFonts w:ascii="Arial" w:hAnsi="Arial" w:cs="Arial"/>
        </w:rPr>
      </w:pPr>
    </w:p>
    <w:p w:rsidR="00000000" w:rsidRDefault="00BC67ED">
      <w:pPr>
        <w:spacing w:line="360" w:lineRule="auto"/>
        <w:ind w:left="3"/>
        <w:jc w:val="cente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3-17 </w:t>
      </w:r>
    </w:p>
    <w:p w:rsidR="00000000" w:rsidRDefault="00BC67ED">
      <w:pPr>
        <w:ind w:firstLine="708"/>
        <w:jc w:val="center"/>
        <w:rPr>
          <w:rFonts w:ascii="Arial" w:hAnsi="Arial" w:cs="Arial"/>
          <w:b/>
        </w:rPr>
      </w:pPr>
      <w:r>
        <w:rPr>
          <w:rFonts w:ascii="Arial" w:hAnsi="Arial" w:cs="Arial"/>
          <w:b/>
        </w:rPr>
        <w:t>HISTOGRAM</w:t>
      </w:r>
      <w:r>
        <w:rPr>
          <w:rFonts w:ascii="Arial" w:hAnsi="Arial" w:cs="Arial"/>
          <w:b/>
        </w:rPr>
        <w:t>A DE FRECUENCIA DE CÁNCER</w:t>
      </w:r>
    </w:p>
    <w:p w:rsidR="00000000" w:rsidRDefault="00BC67ED">
      <w:pPr>
        <w:ind w:firstLine="708"/>
        <w:jc w:val="center"/>
        <w:rPr>
          <w:rFonts w:ascii="Arial" w:hAnsi="Arial" w:cs="Arial"/>
          <w:b/>
        </w:rPr>
      </w:pPr>
      <w:r>
        <w:rPr>
          <w:rFonts w:ascii="Arial" w:hAnsi="Arial" w:cs="Arial"/>
          <w:b/>
        </w:rPr>
        <w:t>EPIDERMOIDE CABEZA Y CUELLO</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480" w:lineRule="auto"/>
        <w:ind w:left="723" w:firstLine="693"/>
        <w:jc w:val="both"/>
      </w:pPr>
      <w:r>
        <w:rPr>
          <w:noProof/>
          <w:lang w:val="es-ES" w:eastAsia="es-ES"/>
        </w:rPr>
        <w:drawing>
          <wp:inline distT="0" distB="0" distL="0" distR="0">
            <wp:extent cx="4110990" cy="2662555"/>
            <wp:effectExtent l="0" t="0" r="0" b="0"/>
            <wp:docPr id="138" name="Objeto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000000" w:rsidRDefault="00BC67ED">
      <w:pPr>
        <w:spacing w:line="360" w:lineRule="auto"/>
        <w:ind w:left="545"/>
        <w:jc w:val="center"/>
        <w:rPr>
          <w:rFonts w:ascii="Arial" w:hAnsi="Arial" w:cs="Arial"/>
          <w:b/>
        </w:rPr>
      </w:pPr>
    </w:p>
    <w:p w:rsidR="00000000" w:rsidRDefault="00BC67ED">
      <w:pPr>
        <w:spacing w:line="480" w:lineRule="auto"/>
        <w:ind w:left="723"/>
        <w:jc w:val="both"/>
        <w:rPr>
          <w:rFonts w:ascii="Arial" w:hAnsi="Arial" w:cs="Arial"/>
        </w:rPr>
      </w:pPr>
      <w:r>
        <w:rPr>
          <w:rFonts w:ascii="Arial" w:hAnsi="Arial" w:cs="Arial"/>
        </w:rPr>
        <w:t>A continuación se presenta la Tabla XVII, que nos muestra la frecuencia absoluta, la frecuencia absoluta relativa, la frecuencia acumulada absoluta y l</w:t>
      </w:r>
      <w:r>
        <w:rPr>
          <w:rFonts w:ascii="Arial" w:hAnsi="Arial" w:cs="Arial"/>
        </w:rPr>
        <w:t>a frecuencia acumulada absoluta relativa de la variable cáncer epidermoide.</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XVII</w:t>
      </w:r>
    </w:p>
    <w:p w:rsidR="00000000" w:rsidRDefault="00BC67ED">
      <w:pPr>
        <w:ind w:left="545"/>
        <w:jc w:val="center"/>
        <w:rPr>
          <w:rFonts w:ascii="Arial" w:hAnsi="Arial" w:cs="Arial"/>
          <w:b/>
          <w:caps/>
        </w:rPr>
      </w:pPr>
      <w:r>
        <w:rPr>
          <w:rFonts w:ascii="Arial" w:hAnsi="Arial" w:cs="Arial"/>
          <w:b/>
          <w:caps/>
        </w:rPr>
        <w:t>pacientes QUE tIENEN</w:t>
      </w:r>
    </w:p>
    <w:p w:rsidR="00000000" w:rsidRDefault="00BC67ED">
      <w:pPr>
        <w:ind w:left="545"/>
        <w:jc w:val="center"/>
        <w:rPr>
          <w:rFonts w:ascii="Arial" w:hAnsi="Arial" w:cs="Arial"/>
          <w:b/>
          <w:caps/>
        </w:rPr>
      </w:pPr>
      <w:r>
        <w:rPr>
          <w:rFonts w:ascii="Arial" w:hAnsi="Arial" w:cs="Arial"/>
          <w:b/>
          <w:caps/>
        </w:rPr>
        <w:t xml:space="preserve"> cÁNCER EPIDERMOIDE</w:t>
      </w:r>
    </w:p>
    <w:p w:rsidR="00000000" w:rsidRDefault="00BC67ED">
      <w:pPr>
        <w:ind w:left="545"/>
        <w:jc w:val="center"/>
        <w:rPr>
          <w:rFonts w:ascii="Arial" w:hAnsi="Arial" w:cs="Arial"/>
          <w:b/>
        </w:rPr>
      </w:pPr>
      <w:r>
        <w:rPr>
          <w:rFonts w:ascii="Arial" w:hAnsi="Arial" w:cs="Arial"/>
          <w:b/>
        </w:rPr>
        <w:t>(Cáncer de Esófago)</w:t>
      </w:r>
    </w:p>
    <w:tbl>
      <w:tblPr>
        <w:tblpPr w:leftFromText="141" w:rightFromText="141" w:vertAnchor="text" w:horzAnchor="page" w:tblpX="3099" w:tblpY="357"/>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40"/>
        <w:gridCol w:w="660"/>
        <w:gridCol w:w="1200"/>
        <w:gridCol w:w="1490"/>
        <w:gridCol w:w="1620"/>
        <w:gridCol w:w="1800"/>
      </w:tblGrid>
      <w:tr w:rsidR="00000000">
        <w:trPr>
          <w:cantSplit/>
          <w:trHeight w:val="255"/>
        </w:trPr>
        <w:tc>
          <w:tcPr>
            <w:tcW w:w="19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49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w:t>
            </w:r>
            <w:r>
              <w:rPr>
                <w:rFonts w:ascii="Arial" w:hAnsi="Arial" w:cs="Arial"/>
                <w:b/>
                <w:i/>
                <w:iCs/>
                <w:sz w:val="18"/>
                <w:szCs w:val="18"/>
              </w:rPr>
              <w:t>ncia Acumulada                 Absoluta (Fi)</w:t>
            </w:r>
          </w:p>
        </w:tc>
        <w:tc>
          <w:tcPr>
            <w:tcW w:w="18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194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490" w:type="dxa"/>
            <w:vMerge/>
            <w:vAlign w:val="center"/>
          </w:tcPr>
          <w:p w:rsidR="00000000" w:rsidRDefault="00BC67ED">
            <w:pPr>
              <w:rPr>
                <w:rFonts w:ascii="Arial" w:hAnsi="Arial" w:cs="Arial"/>
                <w:i/>
                <w:iCs/>
                <w:sz w:val="20"/>
                <w:szCs w:val="20"/>
              </w:rPr>
            </w:pPr>
          </w:p>
        </w:tc>
        <w:tc>
          <w:tcPr>
            <w:tcW w:w="1620" w:type="dxa"/>
            <w:vMerge/>
            <w:vAlign w:val="center"/>
          </w:tcPr>
          <w:p w:rsidR="00000000" w:rsidRDefault="00BC67ED">
            <w:pPr>
              <w:rPr>
                <w:rFonts w:ascii="Arial" w:hAnsi="Arial" w:cs="Arial"/>
                <w:i/>
                <w:iCs/>
                <w:sz w:val="20"/>
                <w:szCs w:val="20"/>
              </w:rPr>
            </w:pPr>
          </w:p>
        </w:tc>
        <w:tc>
          <w:tcPr>
            <w:tcW w:w="1800" w:type="dxa"/>
            <w:vMerge/>
            <w:vAlign w:val="center"/>
          </w:tcPr>
          <w:p w:rsidR="00000000" w:rsidRDefault="00BC67ED">
            <w:pPr>
              <w:rPr>
                <w:rFonts w:ascii="Arial" w:hAnsi="Arial" w:cs="Arial"/>
                <w:i/>
                <w:iCs/>
                <w:sz w:val="20"/>
                <w:szCs w:val="20"/>
              </w:rPr>
            </w:pPr>
          </w:p>
        </w:tc>
      </w:tr>
      <w:tr w:rsidR="00000000">
        <w:trPr>
          <w:trHeight w:val="300"/>
        </w:trPr>
        <w:tc>
          <w:tcPr>
            <w:tcW w:w="194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Tienen C. Epid.</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2</w:t>
            </w:r>
          </w:p>
        </w:tc>
        <w:tc>
          <w:tcPr>
            <w:tcW w:w="1490" w:type="dxa"/>
            <w:noWrap/>
            <w:vAlign w:val="bottom"/>
          </w:tcPr>
          <w:p w:rsidR="00000000" w:rsidRDefault="00BC67ED">
            <w:pPr>
              <w:jc w:val="center"/>
              <w:rPr>
                <w:rFonts w:ascii="Arial" w:hAnsi="Arial" w:cs="Arial"/>
                <w:i/>
                <w:sz w:val="20"/>
                <w:szCs w:val="20"/>
              </w:rPr>
            </w:pPr>
            <w:r>
              <w:rPr>
                <w:rFonts w:ascii="Arial" w:hAnsi="Arial" w:cs="Arial"/>
                <w:i/>
                <w:sz w:val="20"/>
                <w:szCs w:val="20"/>
              </w:rPr>
              <w:t>1,67%</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2</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1,67%</w:t>
            </w:r>
          </w:p>
        </w:tc>
      </w:tr>
      <w:tr w:rsidR="00000000">
        <w:trPr>
          <w:trHeight w:val="315"/>
        </w:trPr>
        <w:tc>
          <w:tcPr>
            <w:tcW w:w="194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No Tienen C. Epid.</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118</w:t>
            </w:r>
          </w:p>
        </w:tc>
        <w:tc>
          <w:tcPr>
            <w:tcW w:w="1490" w:type="dxa"/>
            <w:noWrap/>
            <w:vAlign w:val="bottom"/>
          </w:tcPr>
          <w:p w:rsidR="00000000" w:rsidRDefault="00BC67ED">
            <w:pPr>
              <w:jc w:val="center"/>
              <w:rPr>
                <w:rFonts w:ascii="Arial" w:hAnsi="Arial" w:cs="Arial"/>
                <w:i/>
                <w:sz w:val="20"/>
                <w:szCs w:val="20"/>
              </w:rPr>
            </w:pPr>
            <w:r>
              <w:rPr>
                <w:rFonts w:ascii="Arial" w:hAnsi="Arial" w:cs="Arial"/>
                <w:i/>
                <w:sz w:val="20"/>
                <w:szCs w:val="20"/>
              </w:rPr>
              <w:t>98,33%</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0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lastRenderedPageBreak/>
        <w:t>Antecedentes Patológicos Familiares (A.P.F.)</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b/>
          <w:i/>
        </w:rPr>
      </w:pPr>
      <w:r>
        <w:rPr>
          <w:rFonts w:ascii="Arial" w:hAnsi="Arial" w:cs="Arial"/>
          <w:b/>
          <w:i/>
        </w:rPr>
        <w:t xml:space="preserve">Variable # 18: </w:t>
      </w:r>
      <w:r>
        <w:rPr>
          <w:rFonts w:ascii="Arial" w:hAnsi="Arial" w:cs="Arial"/>
          <w:b/>
          <w:i/>
        </w:rPr>
        <w:t>Padre Con Cáncer</w:t>
      </w:r>
    </w:p>
    <w:p w:rsidR="00000000" w:rsidRDefault="00BC67ED">
      <w:pPr>
        <w:spacing w:line="480" w:lineRule="auto"/>
        <w:ind w:left="723"/>
        <w:jc w:val="both"/>
        <w:rPr>
          <w:rFonts w:ascii="Arial" w:hAnsi="Arial" w:cs="Arial"/>
        </w:rPr>
      </w:pPr>
      <w:r>
        <w:rPr>
          <w:rFonts w:ascii="Arial" w:hAnsi="Arial" w:cs="Arial"/>
        </w:rPr>
        <w:t>Como podemos observar en la figura 3-18 la mayor parte de los pacientes que se han realizado los exámenes se les pudo comprobar su papá no padecía de cáncer de ningún tipo y este porcentaje representa el 75% del total de pacientes, mientra</w:t>
      </w:r>
      <w:r>
        <w:rPr>
          <w:rFonts w:ascii="Arial" w:hAnsi="Arial" w:cs="Arial"/>
        </w:rPr>
        <w:t>s que existe un porcentaje significativo y que va en aumento el cual es del 25% de los pacientes se les pudo confirmar la existencia de cáncer por parte paterna.</w:t>
      </w:r>
    </w:p>
    <w:p w:rsidR="00000000" w:rsidRDefault="00BC67ED">
      <w:pPr>
        <w:spacing w:line="360" w:lineRule="auto"/>
        <w:ind w:left="543"/>
        <w:jc w:val="center"/>
        <w:rPr>
          <w:rFonts w:ascii="Arial" w:hAnsi="Arial" w:cs="Arial"/>
          <w:b/>
        </w:rPr>
      </w:pPr>
    </w:p>
    <w:p w:rsidR="00000000" w:rsidRDefault="00BC67ED">
      <w:pPr>
        <w:spacing w:line="360" w:lineRule="auto"/>
        <w:ind w:left="543"/>
        <w:jc w:val="center"/>
        <w:rPr>
          <w:rFonts w:ascii="Arial" w:hAnsi="Arial" w:cs="Arial"/>
          <w:b/>
        </w:rPr>
      </w:pPr>
      <w:r>
        <w:rPr>
          <w:rFonts w:ascii="Arial" w:hAnsi="Arial" w:cs="Arial"/>
          <w:b/>
        </w:rPr>
        <w:t>FIGURA 3-18</w:t>
      </w:r>
    </w:p>
    <w:p w:rsidR="00000000" w:rsidRDefault="00BC67ED">
      <w:pPr>
        <w:ind w:left="543"/>
        <w:jc w:val="center"/>
        <w:rPr>
          <w:rFonts w:ascii="Arial" w:hAnsi="Arial" w:cs="Arial"/>
          <w:b/>
        </w:rPr>
      </w:pPr>
      <w:r>
        <w:rPr>
          <w:rFonts w:ascii="Arial" w:hAnsi="Arial" w:cs="Arial"/>
          <w:b/>
        </w:rPr>
        <w:t>HISTOGRAMA DE FRECUENCIA DE PACIENTES QUE TIENEN  SU PADRE CON CÁNCER</w:t>
      </w:r>
    </w:p>
    <w:p w:rsidR="00000000" w:rsidRDefault="00BC67ED">
      <w:pPr>
        <w:ind w:left="543"/>
        <w:jc w:val="center"/>
        <w:rPr>
          <w:rFonts w:ascii="Arial" w:hAnsi="Arial" w:cs="Arial"/>
          <w:b/>
        </w:rPr>
      </w:pPr>
      <w:r>
        <w:rPr>
          <w:rFonts w:ascii="Arial" w:hAnsi="Arial" w:cs="Arial"/>
          <w:b/>
        </w:rPr>
        <w:t xml:space="preserve">(Cáncer de </w:t>
      </w:r>
      <w:r>
        <w:rPr>
          <w:rFonts w:ascii="Arial" w:hAnsi="Arial" w:cs="Arial"/>
          <w:b/>
        </w:rPr>
        <w:t>Esófago)</w:t>
      </w:r>
    </w:p>
    <w:p w:rsidR="00000000" w:rsidRDefault="00BC67ED">
      <w:pPr>
        <w:ind w:firstLine="708"/>
        <w:jc w:val="center"/>
        <w:rPr>
          <w:rFonts w:ascii="Arial" w:hAnsi="Arial" w:cs="Arial"/>
          <w:b/>
        </w:rPr>
      </w:pPr>
    </w:p>
    <w:p w:rsidR="00000000" w:rsidRDefault="00221239">
      <w:pPr>
        <w:spacing w:line="360" w:lineRule="auto"/>
        <w:ind w:left="363" w:firstLine="180"/>
        <w:jc w:val="center"/>
      </w:pPr>
      <w:r>
        <w:rPr>
          <w:noProof/>
          <w:lang w:val="es-ES" w:eastAsia="es-ES"/>
        </w:rPr>
        <w:drawing>
          <wp:inline distT="0" distB="0" distL="0" distR="0">
            <wp:extent cx="4110990" cy="2662555"/>
            <wp:effectExtent l="0" t="0" r="0" b="0"/>
            <wp:docPr id="139" name="Objeto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000000" w:rsidRDefault="00BC67ED">
      <w:pPr>
        <w:spacing w:line="480" w:lineRule="auto"/>
        <w:ind w:left="723"/>
        <w:jc w:val="both"/>
        <w:rPr>
          <w:rFonts w:ascii="Arial" w:hAnsi="Arial" w:cs="Arial"/>
        </w:rPr>
      </w:pPr>
      <w:r>
        <w:rPr>
          <w:rFonts w:ascii="Arial" w:hAnsi="Arial" w:cs="Arial"/>
        </w:rPr>
        <w:lastRenderedPageBreak/>
        <w:t>A continuación se presenta la Tabla XVIII, que nos muestra la frecuencia absoluta, la frecuencia absoluta relativa, la frecuencia acumulada absoluta y la frecuencia acumulada absoluta relativa de la variable padre con</w:t>
      </w:r>
      <w:r>
        <w:rPr>
          <w:rFonts w:ascii="Arial" w:hAnsi="Arial" w:cs="Arial"/>
        </w:rPr>
        <w:t xml:space="preserve"> cáncer.</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XVIII</w:t>
      </w:r>
    </w:p>
    <w:p w:rsidR="00000000" w:rsidRDefault="00BC67ED">
      <w:pPr>
        <w:ind w:left="543"/>
        <w:jc w:val="center"/>
        <w:rPr>
          <w:rFonts w:ascii="Arial" w:hAnsi="Arial" w:cs="Arial"/>
          <w:b/>
        </w:rPr>
      </w:pPr>
      <w:r>
        <w:rPr>
          <w:rFonts w:ascii="Arial" w:hAnsi="Arial" w:cs="Arial"/>
          <w:b/>
        </w:rPr>
        <w:t>PACIENTES QUE TIENEN SU</w:t>
      </w:r>
    </w:p>
    <w:p w:rsidR="00000000" w:rsidRDefault="00BC67ED">
      <w:pPr>
        <w:ind w:left="543"/>
        <w:jc w:val="center"/>
        <w:rPr>
          <w:rFonts w:ascii="Arial" w:hAnsi="Arial" w:cs="Arial"/>
          <w:b/>
        </w:rPr>
      </w:pPr>
      <w:r>
        <w:rPr>
          <w:rFonts w:ascii="Arial" w:hAnsi="Arial" w:cs="Arial"/>
          <w:b/>
        </w:rPr>
        <w:t>PADRE CON CÁNCER</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543"/>
        <w:jc w:val="cente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0"/>
        <w:gridCol w:w="660"/>
        <w:gridCol w:w="1200"/>
        <w:gridCol w:w="2000"/>
        <w:gridCol w:w="1520"/>
        <w:gridCol w:w="2340"/>
      </w:tblGrid>
      <w:tr w:rsidR="00000000">
        <w:trPr>
          <w:cantSplit/>
          <w:trHeight w:val="255"/>
        </w:trPr>
        <w:tc>
          <w:tcPr>
            <w:tcW w:w="18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20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5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23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w:t>
            </w:r>
            <w:r>
              <w:rPr>
                <w:rFonts w:ascii="Arial" w:hAnsi="Arial" w:cs="Arial"/>
                <w:b/>
                <w:i/>
                <w:iCs/>
                <w:sz w:val="18"/>
                <w:szCs w:val="18"/>
              </w:rPr>
              <w:t>a                 Absoluta Relativa (Fi/N)</w:t>
            </w:r>
          </w:p>
        </w:tc>
      </w:tr>
      <w:tr w:rsidR="00000000">
        <w:trPr>
          <w:cantSplit/>
          <w:trHeight w:val="255"/>
        </w:trPr>
        <w:tc>
          <w:tcPr>
            <w:tcW w:w="182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2000" w:type="dxa"/>
            <w:vMerge/>
            <w:vAlign w:val="center"/>
          </w:tcPr>
          <w:p w:rsidR="00000000" w:rsidRDefault="00BC67ED">
            <w:pPr>
              <w:rPr>
                <w:rFonts w:ascii="Arial" w:hAnsi="Arial" w:cs="Arial"/>
                <w:i/>
                <w:iCs/>
                <w:sz w:val="20"/>
                <w:szCs w:val="20"/>
              </w:rPr>
            </w:pPr>
          </w:p>
        </w:tc>
        <w:tc>
          <w:tcPr>
            <w:tcW w:w="1520" w:type="dxa"/>
            <w:vMerge/>
            <w:vAlign w:val="center"/>
          </w:tcPr>
          <w:p w:rsidR="00000000" w:rsidRDefault="00BC67ED">
            <w:pPr>
              <w:rPr>
                <w:rFonts w:ascii="Arial" w:hAnsi="Arial" w:cs="Arial"/>
                <w:i/>
                <w:iCs/>
                <w:sz w:val="20"/>
                <w:szCs w:val="20"/>
              </w:rPr>
            </w:pPr>
          </w:p>
        </w:tc>
        <w:tc>
          <w:tcPr>
            <w:tcW w:w="2340" w:type="dxa"/>
            <w:vMerge/>
            <w:vAlign w:val="center"/>
          </w:tcPr>
          <w:p w:rsidR="00000000" w:rsidRDefault="00BC67ED">
            <w:pPr>
              <w:rPr>
                <w:rFonts w:ascii="Arial" w:hAnsi="Arial" w:cs="Arial"/>
                <w:i/>
                <w:iCs/>
                <w:sz w:val="20"/>
                <w:szCs w:val="20"/>
              </w:rPr>
            </w:pPr>
          </w:p>
        </w:tc>
      </w:tr>
      <w:tr w:rsidR="00000000">
        <w:trPr>
          <w:trHeight w:val="300"/>
        </w:trPr>
        <w:tc>
          <w:tcPr>
            <w:tcW w:w="182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Padre con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30</w:t>
            </w:r>
          </w:p>
        </w:tc>
        <w:tc>
          <w:tcPr>
            <w:tcW w:w="2000" w:type="dxa"/>
            <w:noWrap/>
            <w:vAlign w:val="bottom"/>
          </w:tcPr>
          <w:p w:rsidR="00000000" w:rsidRDefault="00BC67ED">
            <w:pPr>
              <w:jc w:val="center"/>
              <w:rPr>
                <w:rFonts w:ascii="Arial" w:hAnsi="Arial" w:cs="Arial"/>
                <w:i/>
                <w:sz w:val="20"/>
                <w:szCs w:val="20"/>
              </w:rPr>
            </w:pPr>
            <w:r>
              <w:rPr>
                <w:rFonts w:ascii="Arial" w:hAnsi="Arial" w:cs="Arial"/>
                <w:i/>
                <w:sz w:val="20"/>
                <w:szCs w:val="20"/>
              </w:rPr>
              <w:t>25,00%</w:t>
            </w:r>
          </w:p>
        </w:tc>
        <w:tc>
          <w:tcPr>
            <w:tcW w:w="1520" w:type="dxa"/>
            <w:noWrap/>
            <w:vAlign w:val="bottom"/>
          </w:tcPr>
          <w:p w:rsidR="00000000" w:rsidRDefault="00BC67ED">
            <w:pPr>
              <w:jc w:val="center"/>
              <w:rPr>
                <w:rFonts w:ascii="Arial" w:hAnsi="Arial" w:cs="Arial"/>
                <w:i/>
                <w:sz w:val="20"/>
                <w:szCs w:val="20"/>
              </w:rPr>
            </w:pPr>
            <w:r>
              <w:rPr>
                <w:rFonts w:ascii="Arial" w:hAnsi="Arial" w:cs="Arial"/>
                <w:i/>
                <w:sz w:val="20"/>
                <w:szCs w:val="20"/>
              </w:rPr>
              <w:t>30</w:t>
            </w:r>
          </w:p>
        </w:tc>
        <w:tc>
          <w:tcPr>
            <w:tcW w:w="2340" w:type="dxa"/>
            <w:noWrap/>
            <w:vAlign w:val="bottom"/>
          </w:tcPr>
          <w:p w:rsidR="00000000" w:rsidRDefault="00BC67ED">
            <w:pPr>
              <w:jc w:val="center"/>
              <w:rPr>
                <w:rFonts w:ascii="Arial" w:hAnsi="Arial" w:cs="Arial"/>
                <w:i/>
                <w:sz w:val="20"/>
                <w:szCs w:val="20"/>
              </w:rPr>
            </w:pPr>
            <w:r>
              <w:rPr>
                <w:rFonts w:ascii="Arial" w:hAnsi="Arial" w:cs="Arial"/>
                <w:i/>
                <w:sz w:val="20"/>
                <w:szCs w:val="20"/>
              </w:rPr>
              <w:t>25,00%</w:t>
            </w:r>
          </w:p>
        </w:tc>
      </w:tr>
      <w:tr w:rsidR="00000000">
        <w:trPr>
          <w:trHeight w:val="315"/>
        </w:trPr>
        <w:tc>
          <w:tcPr>
            <w:tcW w:w="182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Padre sin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90</w:t>
            </w:r>
          </w:p>
        </w:tc>
        <w:tc>
          <w:tcPr>
            <w:tcW w:w="2000" w:type="dxa"/>
            <w:noWrap/>
            <w:vAlign w:val="bottom"/>
          </w:tcPr>
          <w:p w:rsidR="00000000" w:rsidRDefault="00BC67ED">
            <w:pPr>
              <w:jc w:val="center"/>
              <w:rPr>
                <w:rFonts w:ascii="Arial" w:hAnsi="Arial" w:cs="Arial"/>
                <w:i/>
                <w:sz w:val="20"/>
                <w:szCs w:val="20"/>
              </w:rPr>
            </w:pPr>
            <w:r>
              <w:rPr>
                <w:rFonts w:ascii="Arial" w:hAnsi="Arial" w:cs="Arial"/>
                <w:i/>
                <w:sz w:val="20"/>
                <w:szCs w:val="20"/>
              </w:rPr>
              <w:t>75,00%</w:t>
            </w:r>
          </w:p>
        </w:tc>
        <w:tc>
          <w:tcPr>
            <w:tcW w:w="15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234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543"/>
        <w:jc w:val="center"/>
      </w:pPr>
    </w:p>
    <w:p w:rsidR="00000000" w:rsidRDefault="00BC67ED">
      <w:pPr>
        <w:spacing w:line="360" w:lineRule="auto"/>
        <w:ind w:left="3"/>
        <w:jc w:val="center"/>
        <w:rPr>
          <w:rFonts w:ascii="Courier New" w:hAnsi="Courier New" w:cs="Courier New"/>
          <w:lang w:val="en-US"/>
        </w:rPr>
      </w:pPr>
    </w:p>
    <w:p w:rsidR="00000000" w:rsidRDefault="00BC67ED">
      <w:pPr>
        <w:spacing w:line="480" w:lineRule="auto"/>
        <w:ind w:left="720"/>
        <w:jc w:val="both"/>
        <w:rPr>
          <w:rFonts w:ascii="Arial" w:hAnsi="Arial" w:cs="Arial"/>
          <w:b/>
          <w:i/>
        </w:rPr>
      </w:pPr>
      <w:r>
        <w:rPr>
          <w:rFonts w:ascii="Arial" w:hAnsi="Arial" w:cs="Arial"/>
          <w:b/>
          <w:i/>
        </w:rPr>
        <w:t>Variable # 19: Madre con Cáncer</w:t>
      </w:r>
    </w:p>
    <w:p w:rsidR="00000000" w:rsidRDefault="00BC67ED">
      <w:pPr>
        <w:spacing w:line="480" w:lineRule="auto"/>
        <w:ind w:left="723"/>
        <w:jc w:val="both"/>
        <w:rPr>
          <w:rFonts w:ascii="Arial" w:hAnsi="Arial" w:cs="Arial"/>
        </w:rPr>
      </w:pPr>
      <w:r>
        <w:rPr>
          <w:rFonts w:ascii="Arial" w:hAnsi="Arial" w:cs="Arial"/>
        </w:rPr>
        <w:t>Como podemos observar en la figura 3-19 la mayor parte de los pacientes que se han realizado</w:t>
      </w:r>
      <w:r>
        <w:rPr>
          <w:rFonts w:ascii="Arial" w:hAnsi="Arial" w:cs="Arial"/>
        </w:rPr>
        <w:t xml:space="preserve"> los exámenes se les pudo comprobar su mamá no padecía de cáncer de ningún tipo y este porcentaje representa el 78% del total de pacientes, mientras que existe un porcentaje significativo y que va en aumento el cual es del 23% de los pacientes se les pudo </w:t>
      </w:r>
      <w:r>
        <w:rPr>
          <w:rFonts w:ascii="Arial" w:hAnsi="Arial" w:cs="Arial"/>
        </w:rPr>
        <w:t>confirmar la existencia de cáncer por parte paterna.</w:t>
      </w:r>
    </w:p>
    <w:p w:rsidR="00000000" w:rsidRDefault="00BC67ED">
      <w:pPr>
        <w:spacing w:line="360" w:lineRule="auto"/>
        <w:ind w:left="3"/>
        <w:jc w:val="center"/>
      </w:pPr>
    </w:p>
    <w:p w:rsidR="00000000" w:rsidRDefault="00BC67ED">
      <w:pPr>
        <w:spacing w:line="360" w:lineRule="auto"/>
        <w:ind w:left="3"/>
        <w:jc w:val="cente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3-19 </w:t>
      </w:r>
    </w:p>
    <w:p w:rsidR="00000000" w:rsidRDefault="00BC67ED">
      <w:pPr>
        <w:ind w:firstLine="708"/>
        <w:jc w:val="center"/>
        <w:rPr>
          <w:rFonts w:ascii="Arial" w:hAnsi="Arial" w:cs="Arial"/>
          <w:b/>
        </w:rPr>
      </w:pPr>
      <w:r>
        <w:rPr>
          <w:rFonts w:ascii="Arial" w:hAnsi="Arial" w:cs="Arial"/>
          <w:b/>
        </w:rPr>
        <w:t>HISTOGRAMA DE FRECUENCIA DE PACIENTES QUE</w:t>
      </w:r>
    </w:p>
    <w:p w:rsidR="00000000" w:rsidRDefault="00BC67ED">
      <w:pPr>
        <w:ind w:firstLine="708"/>
        <w:jc w:val="center"/>
        <w:rPr>
          <w:rFonts w:ascii="Arial" w:hAnsi="Arial" w:cs="Arial"/>
          <w:b/>
        </w:rPr>
      </w:pPr>
      <w:r>
        <w:rPr>
          <w:rFonts w:ascii="Arial" w:hAnsi="Arial" w:cs="Arial"/>
          <w:b/>
        </w:rPr>
        <w:t>TIENEN  SU MADRE CON CÁNCER</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39" w:firstLine="369"/>
        <w:jc w:val="center"/>
      </w:pPr>
      <w:r>
        <w:rPr>
          <w:noProof/>
          <w:lang w:val="es-ES" w:eastAsia="es-ES"/>
        </w:rPr>
        <w:drawing>
          <wp:inline distT="0" distB="0" distL="0" distR="0">
            <wp:extent cx="4243070" cy="2647950"/>
            <wp:effectExtent l="0" t="0" r="0" b="0"/>
            <wp:docPr id="140" name="Objeto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000000" w:rsidRDefault="00BC67ED">
      <w:pPr>
        <w:spacing w:line="360" w:lineRule="auto"/>
        <w:ind w:left="339"/>
        <w:jc w:val="center"/>
      </w:pPr>
    </w:p>
    <w:p w:rsidR="00000000" w:rsidRDefault="00BC67ED">
      <w:pPr>
        <w:spacing w:line="360" w:lineRule="auto"/>
        <w:ind w:left="543"/>
        <w:jc w:val="center"/>
      </w:pPr>
    </w:p>
    <w:p w:rsidR="00000000" w:rsidRDefault="00BC67ED">
      <w:pPr>
        <w:spacing w:line="480" w:lineRule="auto"/>
        <w:ind w:left="723"/>
        <w:jc w:val="both"/>
        <w:rPr>
          <w:rFonts w:ascii="Arial" w:hAnsi="Arial" w:cs="Arial"/>
        </w:rPr>
      </w:pPr>
      <w:r>
        <w:rPr>
          <w:rFonts w:ascii="Arial" w:hAnsi="Arial" w:cs="Arial"/>
        </w:rPr>
        <w:t>A continuación se presenta la Tabla XIX, que nos muestra la frecue</w:t>
      </w:r>
      <w:r>
        <w:rPr>
          <w:rFonts w:ascii="Arial" w:hAnsi="Arial" w:cs="Arial"/>
        </w:rPr>
        <w:t>ncia absoluta, la frecuencia absoluta relativa, la frecuencia acumulada absoluta y la frecuencia acumulada absoluta relativa de la variable madre con cáncer.</w:t>
      </w:r>
    </w:p>
    <w:p w:rsidR="00000000" w:rsidRDefault="00BC67ED">
      <w:pPr>
        <w:spacing w:line="360" w:lineRule="auto"/>
        <w:ind w:left="545"/>
        <w:jc w:val="center"/>
        <w:rPr>
          <w:rFonts w:ascii="Arial" w:hAnsi="Arial" w:cs="Arial"/>
          <w:b/>
        </w:rPr>
      </w:pPr>
      <w:r>
        <w:rPr>
          <w:rFonts w:ascii="Arial" w:hAnsi="Arial" w:cs="Arial"/>
          <w:b/>
        </w:rPr>
        <w:t>TABLA XIX</w:t>
      </w:r>
    </w:p>
    <w:p w:rsidR="00000000" w:rsidRDefault="00BC67ED">
      <w:pPr>
        <w:ind w:left="543"/>
        <w:jc w:val="center"/>
        <w:rPr>
          <w:rFonts w:ascii="Arial" w:hAnsi="Arial" w:cs="Arial"/>
          <w:b/>
        </w:rPr>
      </w:pPr>
      <w:r>
        <w:rPr>
          <w:rFonts w:ascii="Arial" w:hAnsi="Arial" w:cs="Arial"/>
          <w:b/>
        </w:rPr>
        <w:t xml:space="preserve">PACIENTES QUE TIENEN  SU </w:t>
      </w:r>
    </w:p>
    <w:p w:rsidR="00000000" w:rsidRDefault="00BC67ED">
      <w:pPr>
        <w:ind w:left="543"/>
        <w:jc w:val="center"/>
        <w:rPr>
          <w:rFonts w:ascii="Arial" w:hAnsi="Arial" w:cs="Arial"/>
          <w:b/>
        </w:rPr>
      </w:pPr>
      <w:r>
        <w:rPr>
          <w:rFonts w:ascii="Arial" w:hAnsi="Arial" w:cs="Arial"/>
          <w:b/>
        </w:rPr>
        <w:t>MADRE CON CÁNCER</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39"/>
        <w:jc w:val="center"/>
      </w:pPr>
    </w:p>
    <w:tbl>
      <w:tblPr>
        <w:tblW w:w="900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0"/>
        <w:gridCol w:w="660"/>
        <w:gridCol w:w="1200"/>
        <w:gridCol w:w="1660"/>
        <w:gridCol w:w="1620"/>
        <w:gridCol w:w="1980"/>
      </w:tblGrid>
      <w:tr w:rsidR="00000000">
        <w:trPr>
          <w:cantSplit/>
          <w:trHeight w:val="255"/>
        </w:trPr>
        <w:tc>
          <w:tcPr>
            <w:tcW w:w="18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w:t>
            </w:r>
            <w:r>
              <w:rPr>
                <w:rFonts w:ascii="Arial" w:hAnsi="Arial" w:cs="Arial"/>
                <w:b/>
                <w:i/>
                <w:iCs/>
                <w:sz w:val="18"/>
                <w:szCs w:val="18"/>
              </w:rPr>
              <w:t>ncia       Absoluta (fi)</w:t>
            </w:r>
          </w:p>
        </w:tc>
        <w:tc>
          <w:tcPr>
            <w:tcW w:w="1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188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660" w:type="dxa"/>
            <w:vMerge/>
            <w:vAlign w:val="center"/>
          </w:tcPr>
          <w:p w:rsidR="00000000" w:rsidRDefault="00BC67ED">
            <w:pPr>
              <w:rPr>
                <w:rFonts w:ascii="Arial" w:hAnsi="Arial" w:cs="Arial"/>
                <w:i/>
                <w:iCs/>
                <w:sz w:val="20"/>
                <w:szCs w:val="20"/>
              </w:rPr>
            </w:pPr>
          </w:p>
        </w:tc>
        <w:tc>
          <w:tcPr>
            <w:tcW w:w="1620"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r>
      <w:tr w:rsidR="00000000">
        <w:trPr>
          <w:trHeight w:val="300"/>
        </w:trPr>
        <w:tc>
          <w:tcPr>
            <w:tcW w:w="188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Madre con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27</w:t>
            </w:r>
          </w:p>
        </w:tc>
        <w:tc>
          <w:tcPr>
            <w:tcW w:w="1660" w:type="dxa"/>
            <w:noWrap/>
            <w:vAlign w:val="bottom"/>
          </w:tcPr>
          <w:p w:rsidR="00000000" w:rsidRDefault="00BC67ED">
            <w:pPr>
              <w:jc w:val="center"/>
              <w:rPr>
                <w:rFonts w:ascii="Arial" w:hAnsi="Arial" w:cs="Arial"/>
                <w:i/>
                <w:sz w:val="20"/>
                <w:szCs w:val="20"/>
              </w:rPr>
            </w:pPr>
            <w:r>
              <w:rPr>
                <w:rFonts w:ascii="Arial" w:hAnsi="Arial" w:cs="Arial"/>
                <w:i/>
                <w:sz w:val="20"/>
                <w:szCs w:val="20"/>
              </w:rPr>
              <w:t>22,50%</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27</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22,50%</w:t>
            </w:r>
          </w:p>
        </w:tc>
      </w:tr>
      <w:tr w:rsidR="00000000">
        <w:trPr>
          <w:trHeight w:val="315"/>
        </w:trPr>
        <w:tc>
          <w:tcPr>
            <w:tcW w:w="188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Madre sin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93</w:t>
            </w:r>
          </w:p>
        </w:tc>
        <w:tc>
          <w:tcPr>
            <w:tcW w:w="1660" w:type="dxa"/>
            <w:noWrap/>
            <w:vAlign w:val="bottom"/>
          </w:tcPr>
          <w:p w:rsidR="00000000" w:rsidRDefault="00BC67ED">
            <w:pPr>
              <w:jc w:val="center"/>
              <w:rPr>
                <w:rFonts w:ascii="Arial" w:hAnsi="Arial" w:cs="Arial"/>
                <w:i/>
                <w:sz w:val="20"/>
                <w:szCs w:val="20"/>
              </w:rPr>
            </w:pPr>
            <w:r>
              <w:rPr>
                <w:rFonts w:ascii="Arial" w:hAnsi="Arial" w:cs="Arial"/>
                <w:i/>
                <w:sz w:val="20"/>
                <w:szCs w:val="20"/>
              </w:rPr>
              <w:t>77,50%</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339"/>
        <w:jc w:val="center"/>
      </w:pPr>
    </w:p>
    <w:p w:rsidR="00000000" w:rsidRDefault="00BC67ED">
      <w:pPr>
        <w:spacing w:line="480" w:lineRule="auto"/>
        <w:ind w:left="720"/>
        <w:jc w:val="both"/>
        <w:rPr>
          <w:rFonts w:ascii="Arial" w:hAnsi="Arial" w:cs="Arial"/>
          <w:b/>
          <w:i/>
        </w:rPr>
      </w:pPr>
      <w:r>
        <w:rPr>
          <w:rFonts w:ascii="Arial" w:hAnsi="Arial" w:cs="Arial"/>
          <w:b/>
          <w:i/>
        </w:rPr>
        <w:lastRenderedPageBreak/>
        <w:t>Variable # 20: Hermano con Cáncer</w:t>
      </w:r>
    </w:p>
    <w:p w:rsidR="00000000" w:rsidRDefault="00BC67ED">
      <w:pPr>
        <w:spacing w:line="480" w:lineRule="auto"/>
        <w:ind w:left="723"/>
        <w:jc w:val="both"/>
        <w:rPr>
          <w:rFonts w:ascii="Arial" w:hAnsi="Arial" w:cs="Arial"/>
        </w:rPr>
      </w:pPr>
      <w:r>
        <w:rPr>
          <w:rFonts w:ascii="Arial" w:hAnsi="Arial" w:cs="Arial"/>
        </w:rPr>
        <w:t>Como podemos observar en la figura 3-20 la mayor parte de los pacientes que se han realizado los exámenes se les pudo comprobar que no tienen a algún hermano que tenga cáncer de ningún tipo y este por</w:t>
      </w:r>
      <w:r>
        <w:rPr>
          <w:rFonts w:ascii="Arial" w:hAnsi="Arial" w:cs="Arial"/>
        </w:rPr>
        <w:t>centaje representa el 78% del total de pacientes, mientras que existe un porcentaje significativo y que va en aumento el cual es del 23% de los pacientes se les pudo confirmar la existencia de cáncer en sus hermanos.</w:t>
      </w:r>
    </w:p>
    <w:p w:rsidR="00000000" w:rsidRDefault="00BC67ED">
      <w:pPr>
        <w:spacing w:line="360" w:lineRule="auto"/>
        <w:ind w:left="339"/>
        <w:jc w:val="center"/>
      </w:pPr>
    </w:p>
    <w:p w:rsidR="00000000" w:rsidRDefault="00BC67ED">
      <w:pPr>
        <w:spacing w:line="360" w:lineRule="auto"/>
        <w:ind w:firstLine="708"/>
        <w:jc w:val="center"/>
        <w:rPr>
          <w:rFonts w:ascii="Arial" w:hAnsi="Arial" w:cs="Arial"/>
          <w:b/>
        </w:rPr>
      </w:pPr>
      <w:r>
        <w:rPr>
          <w:rFonts w:ascii="Arial" w:hAnsi="Arial" w:cs="Arial"/>
          <w:b/>
        </w:rPr>
        <w:t xml:space="preserve">FIGURA 3-20 </w:t>
      </w:r>
    </w:p>
    <w:p w:rsidR="00000000" w:rsidRDefault="00BC67ED">
      <w:pPr>
        <w:ind w:firstLine="708"/>
        <w:jc w:val="center"/>
        <w:rPr>
          <w:rFonts w:ascii="Arial" w:hAnsi="Arial" w:cs="Arial"/>
          <w:b/>
        </w:rPr>
      </w:pPr>
      <w:r>
        <w:rPr>
          <w:rFonts w:ascii="Arial" w:hAnsi="Arial" w:cs="Arial"/>
          <w:b/>
        </w:rPr>
        <w:t xml:space="preserve">HISTOGRAMA DE FRECUENCIA </w:t>
      </w:r>
      <w:r>
        <w:rPr>
          <w:rFonts w:ascii="Arial" w:hAnsi="Arial" w:cs="Arial"/>
          <w:b/>
        </w:rPr>
        <w:t>DE PACIENTES</w:t>
      </w:r>
    </w:p>
    <w:p w:rsidR="00000000" w:rsidRDefault="00BC67ED">
      <w:pPr>
        <w:ind w:firstLine="708"/>
        <w:jc w:val="center"/>
        <w:rPr>
          <w:rFonts w:ascii="Arial" w:hAnsi="Arial" w:cs="Arial"/>
          <w:b/>
        </w:rPr>
      </w:pPr>
      <w:r>
        <w:rPr>
          <w:rFonts w:ascii="Arial" w:hAnsi="Arial" w:cs="Arial"/>
          <w:b/>
        </w:rPr>
        <w:t>QUE TIENEN  HERMANOS CON CÁNCER</w:t>
      </w:r>
    </w:p>
    <w:p w:rsidR="00000000" w:rsidRDefault="00BC67ED">
      <w:pPr>
        <w:ind w:firstLine="708"/>
        <w:jc w:val="center"/>
        <w:rPr>
          <w:rFonts w:ascii="Arial" w:hAnsi="Arial" w:cs="Arial"/>
          <w:b/>
        </w:rPr>
      </w:pPr>
      <w:r>
        <w:rPr>
          <w:rFonts w:ascii="Arial" w:hAnsi="Arial" w:cs="Arial"/>
          <w:b/>
        </w:rPr>
        <w:t>(Cáncer de Esófago)</w:t>
      </w:r>
    </w:p>
    <w:p w:rsidR="00000000" w:rsidRDefault="00221239">
      <w:pPr>
        <w:spacing w:line="480" w:lineRule="auto"/>
        <w:ind w:left="363" w:firstLine="345"/>
        <w:jc w:val="center"/>
      </w:pPr>
      <w:r>
        <w:rPr>
          <w:noProof/>
          <w:lang w:val="es-ES" w:eastAsia="es-ES"/>
        </w:rPr>
        <w:drawing>
          <wp:inline distT="0" distB="0" distL="0" distR="0">
            <wp:extent cx="4243070" cy="2647950"/>
            <wp:effectExtent l="0" t="0" r="0" b="0"/>
            <wp:docPr id="141" name="Objeto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000000" w:rsidRDefault="00BC67ED">
      <w:pPr>
        <w:spacing w:line="360" w:lineRule="auto"/>
        <w:ind w:left="545"/>
        <w:jc w:val="center"/>
        <w:rPr>
          <w:rFonts w:ascii="Arial" w:hAnsi="Arial" w:cs="Arial"/>
          <w:b/>
        </w:rPr>
      </w:pPr>
    </w:p>
    <w:p w:rsidR="00000000" w:rsidRDefault="00BC67ED">
      <w:pPr>
        <w:spacing w:line="480" w:lineRule="auto"/>
        <w:ind w:left="723"/>
        <w:jc w:val="both"/>
        <w:rPr>
          <w:rFonts w:ascii="Arial" w:hAnsi="Arial" w:cs="Arial"/>
        </w:rPr>
      </w:pPr>
      <w:r>
        <w:rPr>
          <w:rFonts w:ascii="Arial" w:hAnsi="Arial" w:cs="Arial"/>
        </w:rPr>
        <w:t xml:space="preserve">A continuación se presenta la Tabla XX, que nos muestra la frecuencia absoluta, la frecuencia absoluta relativa, la frecuencia acumulada </w:t>
      </w:r>
      <w:r>
        <w:rPr>
          <w:rFonts w:ascii="Arial" w:hAnsi="Arial" w:cs="Arial"/>
        </w:rPr>
        <w:lastRenderedPageBreak/>
        <w:t>absoluta y la frecuencia</w:t>
      </w:r>
      <w:r>
        <w:rPr>
          <w:rFonts w:ascii="Arial" w:hAnsi="Arial" w:cs="Arial"/>
        </w:rPr>
        <w:t xml:space="preserve"> acumulada absoluta relativa de la variable hermanos con cáncer</w:t>
      </w:r>
    </w:p>
    <w:p w:rsidR="00000000" w:rsidRDefault="00BC67ED">
      <w:pPr>
        <w:spacing w:line="360" w:lineRule="auto"/>
        <w:ind w:left="545"/>
        <w:jc w:val="center"/>
        <w:rPr>
          <w:rFonts w:ascii="Arial" w:hAnsi="Arial" w:cs="Arial"/>
          <w:b/>
        </w:rPr>
      </w:pPr>
    </w:p>
    <w:p w:rsidR="00000000" w:rsidRDefault="00BC67ED">
      <w:pPr>
        <w:spacing w:line="360" w:lineRule="auto"/>
        <w:ind w:left="545"/>
        <w:jc w:val="center"/>
        <w:rPr>
          <w:rFonts w:ascii="Arial" w:hAnsi="Arial" w:cs="Arial"/>
          <w:b/>
        </w:rPr>
      </w:pPr>
      <w:r>
        <w:rPr>
          <w:rFonts w:ascii="Arial" w:hAnsi="Arial" w:cs="Arial"/>
          <w:b/>
        </w:rPr>
        <w:t>TABLA XX</w:t>
      </w:r>
    </w:p>
    <w:p w:rsidR="00000000" w:rsidRDefault="00BC67ED">
      <w:pPr>
        <w:ind w:left="543"/>
        <w:jc w:val="center"/>
        <w:rPr>
          <w:rFonts w:ascii="Arial" w:hAnsi="Arial" w:cs="Arial"/>
          <w:b/>
        </w:rPr>
      </w:pPr>
      <w:r>
        <w:rPr>
          <w:rFonts w:ascii="Arial" w:hAnsi="Arial" w:cs="Arial"/>
          <w:b/>
        </w:rPr>
        <w:t>PACIENTES QUE TIENEN</w:t>
      </w:r>
    </w:p>
    <w:p w:rsidR="00000000" w:rsidRDefault="00BC67ED">
      <w:pPr>
        <w:ind w:left="543"/>
        <w:jc w:val="center"/>
        <w:rPr>
          <w:rFonts w:ascii="Arial" w:hAnsi="Arial" w:cs="Arial"/>
          <w:b/>
        </w:rPr>
      </w:pPr>
      <w:r>
        <w:rPr>
          <w:rFonts w:ascii="Arial" w:hAnsi="Arial" w:cs="Arial"/>
          <w:b/>
        </w:rPr>
        <w:t>HERMANOS CON CÁNCER</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480" w:lineRule="auto"/>
        <w:ind w:left="363"/>
        <w:jc w:val="cente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40"/>
        <w:gridCol w:w="660"/>
        <w:gridCol w:w="1200"/>
        <w:gridCol w:w="1980"/>
        <w:gridCol w:w="1760"/>
        <w:gridCol w:w="1870"/>
      </w:tblGrid>
      <w:tr w:rsidR="00000000">
        <w:trPr>
          <w:cantSplit/>
          <w:trHeight w:val="255"/>
        </w:trPr>
        <w:tc>
          <w:tcPr>
            <w:tcW w:w="214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9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7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w:t>
            </w:r>
            <w:r>
              <w:rPr>
                <w:rFonts w:ascii="Arial" w:hAnsi="Arial" w:cs="Arial"/>
                <w:b/>
                <w:i/>
                <w:iCs/>
                <w:sz w:val="18"/>
                <w:szCs w:val="18"/>
              </w:rPr>
              <w:t>a                 Absoluta (Fi)</w:t>
            </w:r>
          </w:p>
        </w:tc>
        <w:tc>
          <w:tcPr>
            <w:tcW w:w="187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14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980" w:type="dxa"/>
            <w:vMerge/>
            <w:vAlign w:val="center"/>
          </w:tcPr>
          <w:p w:rsidR="00000000" w:rsidRDefault="00BC67ED">
            <w:pPr>
              <w:rPr>
                <w:rFonts w:ascii="Arial" w:hAnsi="Arial" w:cs="Arial"/>
                <w:i/>
                <w:iCs/>
                <w:sz w:val="20"/>
                <w:szCs w:val="20"/>
              </w:rPr>
            </w:pPr>
          </w:p>
        </w:tc>
        <w:tc>
          <w:tcPr>
            <w:tcW w:w="1760" w:type="dxa"/>
            <w:vMerge/>
            <w:vAlign w:val="center"/>
          </w:tcPr>
          <w:p w:rsidR="00000000" w:rsidRDefault="00BC67ED">
            <w:pPr>
              <w:rPr>
                <w:rFonts w:ascii="Arial" w:hAnsi="Arial" w:cs="Arial"/>
                <w:i/>
                <w:iCs/>
                <w:sz w:val="20"/>
                <w:szCs w:val="20"/>
              </w:rPr>
            </w:pPr>
          </w:p>
        </w:tc>
        <w:tc>
          <w:tcPr>
            <w:tcW w:w="1870" w:type="dxa"/>
            <w:vMerge/>
            <w:vAlign w:val="center"/>
          </w:tcPr>
          <w:p w:rsidR="00000000" w:rsidRDefault="00BC67ED">
            <w:pPr>
              <w:rPr>
                <w:rFonts w:ascii="Arial" w:hAnsi="Arial" w:cs="Arial"/>
                <w:i/>
                <w:iCs/>
                <w:sz w:val="20"/>
                <w:szCs w:val="20"/>
              </w:rPr>
            </w:pPr>
          </w:p>
        </w:tc>
      </w:tr>
      <w:tr w:rsidR="00000000">
        <w:trPr>
          <w:trHeight w:val="300"/>
        </w:trPr>
        <w:tc>
          <w:tcPr>
            <w:tcW w:w="214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Hermano con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18</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15,00%</w:t>
            </w:r>
          </w:p>
        </w:tc>
        <w:tc>
          <w:tcPr>
            <w:tcW w:w="1760" w:type="dxa"/>
            <w:noWrap/>
            <w:vAlign w:val="bottom"/>
          </w:tcPr>
          <w:p w:rsidR="00000000" w:rsidRDefault="00BC67ED">
            <w:pPr>
              <w:jc w:val="center"/>
              <w:rPr>
                <w:rFonts w:ascii="Arial" w:hAnsi="Arial" w:cs="Arial"/>
                <w:i/>
                <w:sz w:val="20"/>
                <w:szCs w:val="20"/>
              </w:rPr>
            </w:pPr>
            <w:r>
              <w:rPr>
                <w:rFonts w:ascii="Arial" w:hAnsi="Arial" w:cs="Arial"/>
                <w:i/>
                <w:sz w:val="20"/>
                <w:szCs w:val="20"/>
              </w:rPr>
              <w:t>18</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15,00%</w:t>
            </w:r>
          </w:p>
        </w:tc>
      </w:tr>
      <w:tr w:rsidR="00000000">
        <w:trPr>
          <w:trHeight w:val="315"/>
        </w:trPr>
        <w:tc>
          <w:tcPr>
            <w:tcW w:w="214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Hermano sin Cáncer</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102</w:t>
            </w:r>
          </w:p>
        </w:tc>
        <w:tc>
          <w:tcPr>
            <w:tcW w:w="1980" w:type="dxa"/>
            <w:noWrap/>
            <w:vAlign w:val="bottom"/>
          </w:tcPr>
          <w:p w:rsidR="00000000" w:rsidRDefault="00BC67ED">
            <w:pPr>
              <w:jc w:val="center"/>
              <w:rPr>
                <w:rFonts w:ascii="Arial" w:hAnsi="Arial" w:cs="Arial"/>
                <w:i/>
                <w:sz w:val="20"/>
                <w:szCs w:val="20"/>
              </w:rPr>
            </w:pPr>
            <w:r>
              <w:rPr>
                <w:rFonts w:ascii="Arial" w:hAnsi="Arial" w:cs="Arial"/>
                <w:i/>
                <w:sz w:val="20"/>
                <w:szCs w:val="20"/>
              </w:rPr>
              <w:t>85,00%</w:t>
            </w:r>
          </w:p>
        </w:tc>
        <w:tc>
          <w:tcPr>
            <w:tcW w:w="176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480" w:lineRule="auto"/>
        <w:ind w:left="363"/>
        <w:jc w:val="center"/>
      </w:pPr>
    </w:p>
    <w:p w:rsidR="00000000" w:rsidRDefault="00BC67ED">
      <w:pPr>
        <w:spacing w:line="480" w:lineRule="auto"/>
        <w:ind w:left="339"/>
        <w:jc w:val="center"/>
        <w:rPr>
          <w:rFonts w:ascii="Arial" w:hAnsi="Arial" w:cs="Arial"/>
          <w:b/>
        </w:rP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t>Endoscopia</w:t>
      </w:r>
    </w:p>
    <w:p w:rsidR="00000000" w:rsidRDefault="00BC67ED">
      <w:pPr>
        <w:spacing w:line="480" w:lineRule="auto"/>
        <w:ind w:left="720"/>
        <w:jc w:val="both"/>
        <w:rPr>
          <w:rFonts w:ascii="Arial" w:hAnsi="Arial" w:cs="Arial"/>
        </w:rPr>
      </w:pPr>
    </w:p>
    <w:p w:rsidR="00000000" w:rsidRDefault="00BC67ED">
      <w:pPr>
        <w:spacing w:line="480" w:lineRule="auto"/>
        <w:ind w:left="720"/>
        <w:jc w:val="both"/>
        <w:rPr>
          <w:rFonts w:ascii="Arial" w:hAnsi="Arial" w:cs="Arial"/>
          <w:b/>
          <w:i/>
        </w:rPr>
      </w:pPr>
      <w:r>
        <w:rPr>
          <w:rFonts w:ascii="Arial" w:hAnsi="Arial" w:cs="Arial"/>
          <w:b/>
          <w:i/>
        </w:rPr>
        <w:t>Variable # 21: Endoscopia</w:t>
      </w:r>
    </w:p>
    <w:p w:rsidR="00000000" w:rsidRDefault="00BC67ED">
      <w:pPr>
        <w:spacing w:line="480" w:lineRule="auto"/>
        <w:ind w:left="723"/>
        <w:jc w:val="both"/>
        <w:rPr>
          <w:rFonts w:ascii="Arial" w:hAnsi="Arial" w:cs="Arial"/>
        </w:rPr>
      </w:pPr>
      <w:r>
        <w:rPr>
          <w:rFonts w:ascii="Arial" w:hAnsi="Arial" w:cs="Arial"/>
        </w:rPr>
        <w:t>Como podemos observar en la fi</w:t>
      </w:r>
      <w:r>
        <w:rPr>
          <w:rFonts w:ascii="Arial" w:hAnsi="Arial" w:cs="Arial"/>
        </w:rPr>
        <w:t>gura 3-21 la mayor parte de los pacientes que se han realizado los exámenes se les pudo comprobar que nunca se habían hecho una endoscopia y este porcentaje representa el 76,7% del total de pacientes, mientras que existe un porcentaje del 23% de los pacien</w:t>
      </w:r>
      <w:r>
        <w:rPr>
          <w:rFonts w:ascii="Arial" w:hAnsi="Arial" w:cs="Arial"/>
        </w:rPr>
        <w:t>tes que se han realizado alguna vez la endoscopia y que cuando se las realiza  se les hace un estudio minucioso o también llamada endoscopia alta.</w:t>
      </w:r>
    </w:p>
    <w:p w:rsidR="00000000" w:rsidRDefault="00BC67ED">
      <w:pPr>
        <w:spacing w:line="480" w:lineRule="auto"/>
        <w:ind w:left="720"/>
        <w:jc w:val="both"/>
        <w:rPr>
          <w:rFonts w:ascii="Verdana" w:hAnsi="Verdana"/>
          <w:bCs/>
          <w:sz w:val="22"/>
        </w:rPr>
      </w:pPr>
    </w:p>
    <w:p w:rsidR="00000000" w:rsidRDefault="00BC67ED">
      <w:pPr>
        <w:spacing w:line="480" w:lineRule="auto"/>
        <w:ind w:left="720"/>
        <w:jc w:val="both"/>
        <w:rPr>
          <w:rFonts w:ascii="Verdana" w:hAnsi="Verdana"/>
          <w:bCs/>
          <w:sz w:val="22"/>
        </w:rPr>
      </w:pPr>
    </w:p>
    <w:p w:rsidR="00000000" w:rsidRDefault="00BC67ED">
      <w:pPr>
        <w:spacing w:line="360" w:lineRule="auto"/>
        <w:ind w:firstLine="708"/>
        <w:jc w:val="center"/>
        <w:rPr>
          <w:rFonts w:ascii="Arial" w:hAnsi="Arial" w:cs="Arial"/>
          <w:b/>
        </w:rPr>
      </w:pPr>
      <w:r>
        <w:rPr>
          <w:rFonts w:ascii="Arial" w:hAnsi="Arial" w:cs="Arial"/>
          <w:b/>
        </w:rPr>
        <w:lastRenderedPageBreak/>
        <w:t xml:space="preserve">FIGURA 3-21 </w:t>
      </w:r>
    </w:p>
    <w:p w:rsidR="00000000" w:rsidRDefault="00BC67ED">
      <w:pPr>
        <w:ind w:firstLine="708"/>
        <w:jc w:val="center"/>
        <w:rPr>
          <w:rFonts w:ascii="Arial" w:hAnsi="Arial" w:cs="Arial"/>
          <w:b/>
        </w:rPr>
      </w:pPr>
      <w:r>
        <w:rPr>
          <w:rFonts w:ascii="Arial" w:hAnsi="Arial" w:cs="Arial"/>
          <w:b/>
        </w:rPr>
        <w:t>HISTOGRAMA DE FRECUENCIA DE ENDOSCOPÍA</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ind w:firstLine="708"/>
        <w:jc w:val="center"/>
        <w:rPr>
          <w:rFonts w:ascii="Arial" w:hAnsi="Arial" w:cs="Arial"/>
          <w:b/>
        </w:rPr>
      </w:pPr>
    </w:p>
    <w:p w:rsidR="00000000" w:rsidRDefault="00221239">
      <w:pPr>
        <w:spacing w:line="360" w:lineRule="auto"/>
        <w:ind w:left="339" w:firstLine="369"/>
        <w:jc w:val="center"/>
      </w:pPr>
      <w:r>
        <w:rPr>
          <w:noProof/>
          <w:lang w:val="es-ES" w:eastAsia="es-ES"/>
        </w:rPr>
        <w:drawing>
          <wp:inline distT="0" distB="0" distL="0" distR="0">
            <wp:extent cx="4243070" cy="2647950"/>
            <wp:effectExtent l="0" t="0" r="0" b="0"/>
            <wp:docPr id="142" name="Objeto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000000" w:rsidRDefault="00BC67ED">
      <w:pPr>
        <w:spacing w:line="360" w:lineRule="auto"/>
        <w:ind w:left="339"/>
        <w:jc w:val="center"/>
      </w:pPr>
    </w:p>
    <w:p w:rsidR="00000000" w:rsidRDefault="00BC67ED">
      <w:pPr>
        <w:spacing w:line="480" w:lineRule="auto"/>
        <w:ind w:left="723"/>
        <w:jc w:val="both"/>
        <w:rPr>
          <w:rFonts w:ascii="Arial" w:hAnsi="Arial" w:cs="Arial"/>
        </w:rPr>
      </w:pPr>
      <w:r>
        <w:rPr>
          <w:rFonts w:ascii="Arial" w:hAnsi="Arial" w:cs="Arial"/>
        </w:rPr>
        <w:t>A co</w:t>
      </w:r>
      <w:r>
        <w:rPr>
          <w:rFonts w:ascii="Arial" w:hAnsi="Arial" w:cs="Arial"/>
        </w:rPr>
        <w:t>ntinuación se presenta la Tabla XXI, que nos muestra la frecuencia absoluta, la frecuencia absoluta relativa, la frecuencia acumulada absoluta y la frecuencia acumulada absoluta relativa de la variable endoscopía.</w:t>
      </w:r>
    </w:p>
    <w:p w:rsidR="00000000" w:rsidRDefault="00BC67ED">
      <w:pPr>
        <w:spacing w:line="360" w:lineRule="auto"/>
        <w:ind w:left="339"/>
        <w:jc w:val="center"/>
      </w:pPr>
    </w:p>
    <w:p w:rsidR="00000000" w:rsidRDefault="00BC67ED">
      <w:pPr>
        <w:spacing w:line="360" w:lineRule="auto"/>
        <w:ind w:left="545"/>
        <w:jc w:val="center"/>
        <w:rPr>
          <w:rFonts w:ascii="Arial" w:hAnsi="Arial" w:cs="Arial"/>
          <w:b/>
        </w:rPr>
      </w:pPr>
      <w:r>
        <w:rPr>
          <w:rFonts w:ascii="Arial" w:hAnsi="Arial" w:cs="Arial"/>
          <w:b/>
        </w:rPr>
        <w:t>TABLA XXI</w:t>
      </w:r>
    </w:p>
    <w:p w:rsidR="00000000" w:rsidRDefault="00BC67ED">
      <w:pPr>
        <w:ind w:left="543"/>
        <w:jc w:val="center"/>
        <w:rPr>
          <w:rFonts w:ascii="Arial" w:hAnsi="Arial" w:cs="Arial"/>
          <w:b/>
        </w:rPr>
      </w:pPr>
      <w:r>
        <w:rPr>
          <w:rFonts w:ascii="Arial" w:hAnsi="Arial" w:cs="Arial"/>
          <w:b/>
        </w:rPr>
        <w:t>PACIENTES QUE SE REALIZARON</w:t>
      </w:r>
    </w:p>
    <w:p w:rsidR="00000000" w:rsidRDefault="00BC67ED">
      <w:pPr>
        <w:ind w:left="543"/>
        <w:jc w:val="center"/>
        <w:rPr>
          <w:rFonts w:ascii="Arial" w:hAnsi="Arial" w:cs="Arial"/>
          <w:b/>
        </w:rPr>
      </w:pPr>
      <w:r>
        <w:rPr>
          <w:rFonts w:ascii="Arial" w:hAnsi="Arial" w:cs="Arial"/>
          <w:b/>
        </w:rPr>
        <w:t>END</w:t>
      </w:r>
      <w:r>
        <w:rPr>
          <w:rFonts w:ascii="Arial" w:hAnsi="Arial" w:cs="Arial"/>
          <w:b/>
        </w:rPr>
        <w:t>OSCOPIA</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360" w:lineRule="auto"/>
        <w:ind w:left="339"/>
        <w:jc w:val="cente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0"/>
        <w:gridCol w:w="660"/>
        <w:gridCol w:w="1200"/>
        <w:gridCol w:w="1780"/>
        <w:gridCol w:w="1620"/>
        <w:gridCol w:w="1870"/>
      </w:tblGrid>
      <w:tr w:rsidR="00000000">
        <w:trPr>
          <w:cantSplit/>
          <w:trHeight w:val="255"/>
        </w:trPr>
        <w:tc>
          <w:tcPr>
            <w:tcW w:w="23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178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16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187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230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1780" w:type="dxa"/>
            <w:vMerge/>
            <w:vAlign w:val="center"/>
          </w:tcPr>
          <w:p w:rsidR="00000000" w:rsidRDefault="00BC67ED">
            <w:pPr>
              <w:rPr>
                <w:rFonts w:ascii="Arial" w:hAnsi="Arial" w:cs="Arial"/>
                <w:i/>
                <w:iCs/>
                <w:sz w:val="20"/>
                <w:szCs w:val="20"/>
              </w:rPr>
            </w:pPr>
          </w:p>
        </w:tc>
        <w:tc>
          <w:tcPr>
            <w:tcW w:w="1620" w:type="dxa"/>
            <w:vMerge/>
            <w:vAlign w:val="center"/>
          </w:tcPr>
          <w:p w:rsidR="00000000" w:rsidRDefault="00BC67ED">
            <w:pPr>
              <w:rPr>
                <w:rFonts w:ascii="Arial" w:hAnsi="Arial" w:cs="Arial"/>
                <w:i/>
                <w:iCs/>
                <w:sz w:val="20"/>
                <w:szCs w:val="20"/>
              </w:rPr>
            </w:pPr>
          </w:p>
        </w:tc>
        <w:tc>
          <w:tcPr>
            <w:tcW w:w="1870" w:type="dxa"/>
            <w:vMerge/>
            <w:vAlign w:val="center"/>
          </w:tcPr>
          <w:p w:rsidR="00000000" w:rsidRDefault="00BC67ED">
            <w:pPr>
              <w:rPr>
                <w:rFonts w:ascii="Arial" w:hAnsi="Arial" w:cs="Arial"/>
                <w:i/>
                <w:iCs/>
                <w:sz w:val="20"/>
                <w:szCs w:val="20"/>
              </w:rPr>
            </w:pPr>
          </w:p>
        </w:tc>
      </w:tr>
      <w:tr w:rsidR="00000000">
        <w:trPr>
          <w:trHeight w:val="300"/>
        </w:trPr>
        <w:tc>
          <w:tcPr>
            <w:tcW w:w="23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No se</w:t>
            </w:r>
            <w:r>
              <w:rPr>
                <w:rFonts w:ascii="Arial" w:hAnsi="Arial" w:cs="Arial"/>
                <w:bCs/>
                <w:i/>
                <w:iCs/>
                <w:sz w:val="20"/>
                <w:szCs w:val="20"/>
              </w:rPr>
              <w:t xml:space="preserve"> hizo endoscopía</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92</w:t>
            </w:r>
          </w:p>
        </w:tc>
        <w:tc>
          <w:tcPr>
            <w:tcW w:w="1780" w:type="dxa"/>
            <w:noWrap/>
            <w:vAlign w:val="bottom"/>
          </w:tcPr>
          <w:p w:rsidR="00000000" w:rsidRDefault="00BC67ED">
            <w:pPr>
              <w:jc w:val="center"/>
              <w:rPr>
                <w:rFonts w:ascii="Arial" w:hAnsi="Arial" w:cs="Arial"/>
                <w:i/>
                <w:sz w:val="20"/>
                <w:szCs w:val="20"/>
              </w:rPr>
            </w:pPr>
            <w:r>
              <w:rPr>
                <w:rFonts w:ascii="Arial" w:hAnsi="Arial" w:cs="Arial"/>
                <w:i/>
                <w:sz w:val="20"/>
                <w:szCs w:val="20"/>
              </w:rPr>
              <w:t>76,67%</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92</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76,67%</w:t>
            </w:r>
          </w:p>
        </w:tc>
      </w:tr>
      <w:tr w:rsidR="00000000">
        <w:trPr>
          <w:trHeight w:val="315"/>
        </w:trPr>
        <w:tc>
          <w:tcPr>
            <w:tcW w:w="23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Se hizo endoscopía</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28</w:t>
            </w:r>
          </w:p>
        </w:tc>
        <w:tc>
          <w:tcPr>
            <w:tcW w:w="1780" w:type="dxa"/>
            <w:noWrap/>
            <w:vAlign w:val="bottom"/>
          </w:tcPr>
          <w:p w:rsidR="00000000" w:rsidRDefault="00BC67ED">
            <w:pPr>
              <w:jc w:val="center"/>
              <w:rPr>
                <w:rFonts w:ascii="Arial" w:hAnsi="Arial" w:cs="Arial"/>
                <w:i/>
                <w:sz w:val="20"/>
                <w:szCs w:val="20"/>
              </w:rPr>
            </w:pPr>
            <w:r>
              <w:rPr>
                <w:rFonts w:ascii="Arial" w:hAnsi="Arial" w:cs="Arial"/>
                <w:i/>
                <w:sz w:val="20"/>
                <w:szCs w:val="20"/>
              </w:rPr>
              <w:t>23,33%</w:t>
            </w:r>
          </w:p>
        </w:tc>
        <w:tc>
          <w:tcPr>
            <w:tcW w:w="162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187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360" w:lineRule="auto"/>
        <w:ind w:left="339"/>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lastRenderedPageBreak/>
        <w:t>Citología</w:t>
      </w:r>
    </w:p>
    <w:p w:rsidR="00000000" w:rsidRDefault="00BC67ED">
      <w:pPr>
        <w:spacing w:line="480" w:lineRule="auto"/>
        <w:ind w:left="720"/>
        <w:jc w:val="both"/>
        <w:rPr>
          <w:rFonts w:ascii="Arial" w:hAnsi="Arial" w:cs="Arial"/>
          <w:b/>
          <w:i/>
        </w:rPr>
      </w:pPr>
      <w:r>
        <w:rPr>
          <w:rFonts w:ascii="Arial" w:hAnsi="Arial" w:cs="Arial"/>
          <w:b/>
          <w:i/>
        </w:rPr>
        <w:t>Variable # 22: Citología</w:t>
      </w:r>
    </w:p>
    <w:p w:rsidR="00000000" w:rsidRDefault="00BC67ED">
      <w:pPr>
        <w:spacing w:line="480" w:lineRule="auto"/>
        <w:ind w:left="723"/>
        <w:jc w:val="both"/>
        <w:rPr>
          <w:rFonts w:ascii="Arial" w:hAnsi="Arial" w:cs="Arial"/>
        </w:rPr>
      </w:pPr>
      <w:r>
        <w:rPr>
          <w:rFonts w:ascii="Arial" w:hAnsi="Arial" w:cs="Arial"/>
        </w:rPr>
        <w:t>Como podemos observar en la figura 3-22 la mayor parte de los pacientes que se han realizado los exámenes se les pudo comprobar que los res</w:t>
      </w:r>
      <w:r>
        <w:rPr>
          <w:rFonts w:ascii="Arial" w:hAnsi="Arial" w:cs="Arial"/>
        </w:rPr>
        <w:t>ultados eran negativos para malignidad y este porcentaje representa el 85,8% del total de pacientes, mientras que existe un porcentaje del 14,2% se les ha detectado cierto tipo de hongos, celulas escamosas y bacterias cocoides, este último porcentaje demue</w:t>
      </w:r>
      <w:r>
        <w:rPr>
          <w:rFonts w:ascii="Arial" w:hAnsi="Arial" w:cs="Arial"/>
        </w:rPr>
        <w:t>stra el crecimiento que se esta produciendo en la población acerca de este tipo de enfermedad.</w:t>
      </w:r>
    </w:p>
    <w:p w:rsidR="00000000" w:rsidRDefault="00BC67ED">
      <w:pPr>
        <w:spacing w:line="360" w:lineRule="auto"/>
        <w:ind w:left="339"/>
        <w:jc w:val="center"/>
        <w:rPr>
          <w:rFonts w:ascii="Arial" w:hAnsi="Arial" w:cs="Arial"/>
          <w:b/>
        </w:rPr>
      </w:pPr>
    </w:p>
    <w:p w:rsidR="00000000" w:rsidRDefault="00BC67ED">
      <w:pPr>
        <w:spacing w:line="360" w:lineRule="auto"/>
        <w:ind w:left="339"/>
        <w:jc w:val="center"/>
        <w:rPr>
          <w:rFonts w:ascii="Arial" w:hAnsi="Arial" w:cs="Arial"/>
          <w:b/>
        </w:rPr>
      </w:pPr>
      <w:r>
        <w:rPr>
          <w:rFonts w:ascii="Arial" w:hAnsi="Arial" w:cs="Arial"/>
          <w:b/>
        </w:rPr>
        <w:t>FIGURA 3-22</w:t>
      </w:r>
    </w:p>
    <w:p w:rsidR="00000000" w:rsidRDefault="00BC67ED">
      <w:pPr>
        <w:ind w:left="339"/>
        <w:jc w:val="center"/>
        <w:rPr>
          <w:rFonts w:ascii="Arial" w:hAnsi="Arial" w:cs="Arial"/>
          <w:b/>
        </w:rPr>
      </w:pPr>
      <w:r>
        <w:rPr>
          <w:rFonts w:ascii="Arial" w:hAnsi="Arial" w:cs="Arial"/>
          <w:b/>
        </w:rPr>
        <w:t>HISTOGRAMA DE FRECUENCIA DE LA CITOLOGÍA</w:t>
      </w:r>
    </w:p>
    <w:p w:rsidR="00000000" w:rsidRDefault="00BC67ED">
      <w:pPr>
        <w:ind w:left="339"/>
        <w:jc w:val="center"/>
        <w:rPr>
          <w:rFonts w:ascii="Arial" w:hAnsi="Arial" w:cs="Arial"/>
          <w:b/>
          <w:caps/>
        </w:rPr>
      </w:pPr>
      <w:r>
        <w:rPr>
          <w:rFonts w:ascii="Arial" w:hAnsi="Arial" w:cs="Arial"/>
          <w:b/>
          <w:caps/>
        </w:rPr>
        <w:t>que presenta el paciente</w:t>
      </w:r>
    </w:p>
    <w:p w:rsidR="00000000" w:rsidRDefault="00BC67ED">
      <w:pPr>
        <w:ind w:left="339"/>
        <w:jc w:val="center"/>
        <w:rPr>
          <w:rFonts w:ascii="Arial" w:hAnsi="Arial" w:cs="Arial"/>
          <w:b/>
        </w:rPr>
      </w:pPr>
      <w:r>
        <w:rPr>
          <w:rFonts w:ascii="Arial" w:hAnsi="Arial" w:cs="Arial"/>
          <w:b/>
        </w:rPr>
        <w:t>(Cáncer de Esófago)</w:t>
      </w:r>
    </w:p>
    <w:p w:rsidR="00000000" w:rsidRDefault="00BC67ED">
      <w:pPr>
        <w:ind w:left="339"/>
        <w:jc w:val="center"/>
        <w:rPr>
          <w:rFonts w:ascii="Arial" w:hAnsi="Arial" w:cs="Arial"/>
          <w:b/>
        </w:rPr>
      </w:pPr>
    </w:p>
    <w:p w:rsidR="00000000" w:rsidRDefault="00221239">
      <w:pPr>
        <w:spacing w:line="480" w:lineRule="auto"/>
        <w:ind w:left="339" w:firstLine="369"/>
        <w:jc w:val="center"/>
      </w:pPr>
      <w:r>
        <w:rPr>
          <w:noProof/>
          <w:lang w:val="es-ES" w:eastAsia="es-ES"/>
        </w:rPr>
        <w:drawing>
          <wp:inline distT="0" distB="0" distL="0" distR="0">
            <wp:extent cx="4652645" cy="2838450"/>
            <wp:effectExtent l="0" t="0" r="0" b="0"/>
            <wp:docPr id="143" name="Objeto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000000" w:rsidRDefault="00BC67ED">
      <w:pPr>
        <w:spacing w:line="480" w:lineRule="auto"/>
        <w:ind w:left="723"/>
        <w:jc w:val="both"/>
        <w:rPr>
          <w:rFonts w:ascii="Arial" w:hAnsi="Arial" w:cs="Arial"/>
        </w:rPr>
      </w:pPr>
      <w:r>
        <w:rPr>
          <w:rFonts w:ascii="Arial" w:hAnsi="Arial" w:cs="Arial"/>
        </w:rPr>
        <w:lastRenderedPageBreak/>
        <w:t>En la Tabla XXII, presentamos la</w:t>
      </w:r>
      <w:r>
        <w:rPr>
          <w:rFonts w:ascii="Arial" w:hAnsi="Arial" w:cs="Arial"/>
        </w:rPr>
        <w:t xml:space="preserve"> estadística descriptiva de esta variable, tenemos que el valor de la media aritmética es de 1,141.</w:t>
      </w:r>
    </w:p>
    <w:p w:rsidR="00000000" w:rsidRDefault="00BC67ED">
      <w:pPr>
        <w:spacing w:line="480" w:lineRule="auto"/>
        <w:ind w:left="723"/>
        <w:jc w:val="both"/>
        <w:rPr>
          <w:rFonts w:ascii="Arial" w:hAnsi="Arial" w:cs="Arial"/>
        </w:rPr>
      </w:pPr>
      <w:r>
        <w:rPr>
          <w:rFonts w:ascii="Arial" w:hAnsi="Arial" w:cs="Arial"/>
        </w:rPr>
        <w:t xml:space="preserve">El sesgo de esta variable es 2,081, esto significa que la distribución de la variable esta sesgada positivamente. </w:t>
      </w:r>
    </w:p>
    <w:p w:rsidR="00000000" w:rsidRDefault="00BC67ED">
      <w:pPr>
        <w:spacing w:line="480" w:lineRule="auto"/>
        <w:ind w:left="723"/>
        <w:jc w:val="both"/>
        <w:rPr>
          <w:rFonts w:ascii="Arial" w:hAnsi="Arial" w:cs="Arial"/>
        </w:rPr>
      </w:pPr>
      <w:r>
        <w:rPr>
          <w:rFonts w:ascii="Arial" w:hAnsi="Arial" w:cs="Arial"/>
        </w:rPr>
        <w:t>La varianza de los datos de esta variable</w:t>
      </w:r>
      <w:r>
        <w:rPr>
          <w:rFonts w:ascii="Arial" w:hAnsi="Arial" w:cs="Arial"/>
        </w:rPr>
        <w:t xml:space="preserve"> es de 0,122, lo cual nos indica que existe una poca variabilidad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Además, como es posible apreciar en el gráfico, la distribución de esta variable no es simétrica. También podemos afirmar que con el 95% de confianza el valor de la media de e</w:t>
      </w:r>
      <w:r>
        <w:rPr>
          <w:rFonts w:ascii="Arial" w:hAnsi="Arial" w:cs="Arial"/>
        </w:rPr>
        <w:t xml:space="preserve">sta variable se encontrara en el intervalo [1,2, 1,08] el coeficiente de Curtosis es 2,371. </w:t>
      </w:r>
    </w:p>
    <w:p w:rsidR="00000000" w:rsidRDefault="00BC67ED">
      <w:pPr>
        <w:spacing w:line="480" w:lineRule="auto"/>
        <w:ind w:left="339"/>
        <w:jc w:val="center"/>
      </w:pPr>
    </w:p>
    <w:p w:rsidR="00000000" w:rsidRDefault="00BC67ED">
      <w:pPr>
        <w:spacing w:line="360" w:lineRule="auto"/>
        <w:ind w:left="545"/>
        <w:jc w:val="center"/>
        <w:rPr>
          <w:rFonts w:ascii="Arial" w:hAnsi="Arial" w:cs="Arial"/>
          <w:b/>
        </w:rPr>
      </w:pPr>
      <w:r>
        <w:rPr>
          <w:rFonts w:ascii="Arial" w:hAnsi="Arial" w:cs="Arial"/>
          <w:b/>
        </w:rPr>
        <w:t>TABLA XXII</w:t>
      </w:r>
    </w:p>
    <w:p w:rsidR="00000000" w:rsidRDefault="00BC67ED">
      <w:pPr>
        <w:ind w:left="339"/>
        <w:jc w:val="center"/>
        <w:rPr>
          <w:rFonts w:ascii="Arial" w:hAnsi="Arial" w:cs="Arial"/>
          <w:b/>
        </w:rPr>
      </w:pPr>
      <w:r>
        <w:rPr>
          <w:rFonts w:ascii="Arial" w:hAnsi="Arial" w:cs="Arial"/>
          <w:b/>
        </w:rPr>
        <w:t xml:space="preserve">ESTADISTICA DESCRITIVA DE </w:t>
      </w:r>
      <w:r>
        <w:rPr>
          <w:rFonts w:ascii="Arial" w:hAnsi="Arial" w:cs="Arial"/>
          <w:b/>
          <w:caps/>
        </w:rPr>
        <w:t xml:space="preserve">la </w:t>
      </w:r>
      <w:r>
        <w:rPr>
          <w:rFonts w:ascii="Arial" w:hAnsi="Arial" w:cs="Arial"/>
          <w:b/>
        </w:rPr>
        <w:t>CITOLOGÍA</w:t>
      </w:r>
    </w:p>
    <w:p w:rsidR="00000000" w:rsidRDefault="00BC67ED">
      <w:pPr>
        <w:ind w:left="339"/>
        <w:jc w:val="center"/>
        <w:rPr>
          <w:rFonts w:ascii="Arial" w:hAnsi="Arial" w:cs="Arial"/>
          <w:b/>
          <w:caps/>
        </w:rPr>
      </w:pPr>
      <w:r>
        <w:rPr>
          <w:rFonts w:ascii="Arial" w:hAnsi="Arial" w:cs="Arial"/>
          <w:b/>
          <w:caps/>
        </w:rPr>
        <w:t>que presenta el paciente</w:t>
      </w:r>
    </w:p>
    <w:p w:rsidR="00000000" w:rsidRDefault="00BC67ED">
      <w:pPr>
        <w:ind w:left="545"/>
        <w:jc w:val="center"/>
        <w:rPr>
          <w:rFonts w:ascii="Arial" w:hAnsi="Arial" w:cs="Arial"/>
          <w:b/>
        </w:rPr>
      </w:pPr>
      <w:r>
        <w:rPr>
          <w:rFonts w:ascii="Arial" w:hAnsi="Arial" w:cs="Arial"/>
          <w:b/>
        </w:rPr>
        <w:t>(Cáncer de Esófago)</w:t>
      </w:r>
    </w:p>
    <w:tbl>
      <w:tblPr>
        <w:tblpPr w:leftFromText="141" w:rightFromText="141" w:vertAnchor="text" w:horzAnchor="page" w:tblpX="4719" w:tblpY="416"/>
        <w:tblW w:w="4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62"/>
        <w:gridCol w:w="1216"/>
      </w:tblGrid>
      <w:tr w:rsidR="00000000">
        <w:trPr>
          <w:trHeight w:val="300"/>
        </w:trPr>
        <w:tc>
          <w:tcPr>
            <w:tcW w:w="2862" w:type="dxa"/>
            <w:noWrap/>
            <w:vAlign w:val="bottom"/>
          </w:tcPr>
          <w:p w:rsidR="00000000" w:rsidRDefault="00BC67ED">
            <w:pPr>
              <w:rPr>
                <w:rFonts w:ascii="Arial" w:hAnsi="Arial" w:cs="Arial"/>
              </w:rPr>
            </w:pPr>
            <w:r>
              <w:rPr>
                <w:rFonts w:ascii="Arial" w:hAnsi="Arial" w:cs="Arial"/>
              </w:rPr>
              <w:t>Media</w:t>
            </w:r>
          </w:p>
        </w:tc>
        <w:tc>
          <w:tcPr>
            <w:tcW w:w="1216" w:type="dxa"/>
            <w:noWrap/>
            <w:vAlign w:val="bottom"/>
          </w:tcPr>
          <w:p w:rsidR="00000000" w:rsidRDefault="00BC67ED">
            <w:pPr>
              <w:jc w:val="right"/>
              <w:rPr>
                <w:rFonts w:ascii="Arial" w:hAnsi="Arial" w:cs="Arial"/>
              </w:rPr>
            </w:pPr>
            <w:r>
              <w:rPr>
                <w:rFonts w:ascii="Arial" w:hAnsi="Arial" w:cs="Arial"/>
              </w:rPr>
              <w:t>1,141</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Error típico</w:t>
            </w:r>
          </w:p>
        </w:tc>
        <w:tc>
          <w:tcPr>
            <w:tcW w:w="1216" w:type="dxa"/>
            <w:noWrap/>
            <w:vAlign w:val="bottom"/>
          </w:tcPr>
          <w:p w:rsidR="00000000" w:rsidRDefault="00BC67ED">
            <w:pPr>
              <w:jc w:val="right"/>
              <w:rPr>
                <w:rFonts w:ascii="Arial" w:hAnsi="Arial" w:cs="Arial"/>
              </w:rPr>
            </w:pPr>
            <w:r>
              <w:rPr>
                <w:rFonts w:ascii="Arial" w:hAnsi="Arial" w:cs="Arial"/>
              </w:rPr>
              <w:t>0,031</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Desviación estándar</w:t>
            </w:r>
          </w:p>
        </w:tc>
        <w:tc>
          <w:tcPr>
            <w:tcW w:w="1216" w:type="dxa"/>
            <w:noWrap/>
            <w:vAlign w:val="bottom"/>
          </w:tcPr>
          <w:p w:rsidR="00000000" w:rsidRDefault="00BC67ED">
            <w:pPr>
              <w:jc w:val="right"/>
              <w:rPr>
                <w:rFonts w:ascii="Arial" w:hAnsi="Arial" w:cs="Arial"/>
              </w:rPr>
            </w:pPr>
            <w:r>
              <w:rPr>
                <w:rFonts w:ascii="Arial" w:hAnsi="Arial" w:cs="Arial"/>
              </w:rPr>
              <w:t>0,350</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Varianz</w:t>
            </w:r>
            <w:r>
              <w:rPr>
                <w:rFonts w:ascii="Arial" w:hAnsi="Arial" w:cs="Arial"/>
              </w:rPr>
              <w:t xml:space="preserve">a </w:t>
            </w:r>
          </w:p>
        </w:tc>
        <w:tc>
          <w:tcPr>
            <w:tcW w:w="1216" w:type="dxa"/>
            <w:noWrap/>
            <w:vAlign w:val="bottom"/>
          </w:tcPr>
          <w:p w:rsidR="00000000" w:rsidRDefault="00BC67ED">
            <w:pPr>
              <w:jc w:val="right"/>
              <w:rPr>
                <w:rFonts w:ascii="Arial" w:hAnsi="Arial" w:cs="Arial"/>
              </w:rPr>
            </w:pPr>
            <w:r>
              <w:rPr>
                <w:rFonts w:ascii="Arial" w:hAnsi="Arial" w:cs="Arial"/>
              </w:rPr>
              <w:t>0,122</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Curtosis</w:t>
            </w:r>
          </w:p>
        </w:tc>
        <w:tc>
          <w:tcPr>
            <w:tcW w:w="1216" w:type="dxa"/>
            <w:noWrap/>
            <w:vAlign w:val="bottom"/>
          </w:tcPr>
          <w:p w:rsidR="00000000" w:rsidRDefault="00BC67ED">
            <w:pPr>
              <w:jc w:val="right"/>
              <w:rPr>
                <w:rFonts w:ascii="Arial" w:hAnsi="Arial" w:cs="Arial"/>
              </w:rPr>
            </w:pPr>
            <w:r>
              <w:rPr>
                <w:rFonts w:ascii="Arial" w:hAnsi="Arial" w:cs="Arial"/>
              </w:rPr>
              <w:t>2,371</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Sesgo</w:t>
            </w:r>
          </w:p>
        </w:tc>
        <w:tc>
          <w:tcPr>
            <w:tcW w:w="1216" w:type="dxa"/>
            <w:noWrap/>
            <w:vAlign w:val="bottom"/>
          </w:tcPr>
          <w:p w:rsidR="00000000" w:rsidRDefault="00BC67ED">
            <w:pPr>
              <w:jc w:val="right"/>
              <w:rPr>
                <w:rFonts w:ascii="Arial" w:hAnsi="Arial" w:cs="Arial"/>
              </w:rPr>
            </w:pPr>
            <w:r>
              <w:rPr>
                <w:rFonts w:ascii="Arial" w:hAnsi="Arial" w:cs="Arial"/>
              </w:rPr>
              <w:t>2,081</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216" w:type="dxa"/>
            <w:noWrap/>
            <w:vAlign w:val="bottom"/>
          </w:tcPr>
          <w:p w:rsidR="00000000" w:rsidRDefault="00BC67ED">
            <w:pPr>
              <w:jc w:val="right"/>
              <w:rPr>
                <w:rFonts w:ascii="Arial" w:hAnsi="Arial" w:cs="Arial"/>
              </w:rPr>
            </w:pPr>
            <w:r>
              <w:rPr>
                <w:rFonts w:ascii="Arial" w:hAnsi="Arial" w:cs="Arial"/>
              </w:rPr>
              <w:t>1.20</w:t>
            </w:r>
          </w:p>
        </w:tc>
      </w:tr>
      <w:tr w:rsidR="00000000">
        <w:trPr>
          <w:trHeight w:val="300"/>
        </w:trPr>
        <w:tc>
          <w:tcPr>
            <w:tcW w:w="2862" w:type="dxa"/>
            <w:noWrap/>
            <w:vAlign w:val="bottom"/>
          </w:tcPr>
          <w:p w:rsidR="00000000" w:rsidRDefault="00BC67ED">
            <w:pPr>
              <w:rPr>
                <w:rFonts w:ascii="Arial" w:hAnsi="Arial" w:cs="Arial"/>
              </w:rPr>
            </w:pPr>
            <w:r>
              <w:rPr>
                <w:rFonts w:ascii="Arial" w:hAnsi="Arial" w:cs="Arial"/>
              </w:rPr>
              <w:t>Limite Inferior</w:t>
            </w:r>
          </w:p>
        </w:tc>
        <w:tc>
          <w:tcPr>
            <w:tcW w:w="1216" w:type="dxa"/>
            <w:noWrap/>
            <w:vAlign w:val="bottom"/>
          </w:tcPr>
          <w:p w:rsidR="00000000" w:rsidRDefault="00BC67ED">
            <w:pPr>
              <w:jc w:val="right"/>
              <w:rPr>
                <w:rFonts w:ascii="Arial" w:hAnsi="Arial" w:cs="Arial"/>
              </w:rPr>
            </w:pPr>
            <w:r>
              <w:rPr>
                <w:rFonts w:ascii="Arial" w:hAnsi="Arial" w:cs="Arial"/>
              </w:rPr>
              <w:t>1.08</w:t>
            </w:r>
          </w:p>
        </w:tc>
      </w:tr>
    </w:tbl>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pPr>
        <w:spacing w:line="480" w:lineRule="auto"/>
        <w:ind w:left="339"/>
        <w:jc w:val="cente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lastRenderedPageBreak/>
        <w:t xml:space="preserve">Histopatología </w:t>
      </w:r>
    </w:p>
    <w:p w:rsidR="00000000" w:rsidRDefault="00BC67ED">
      <w:pPr>
        <w:spacing w:line="360" w:lineRule="auto"/>
        <w:ind w:left="339"/>
        <w:jc w:val="center"/>
        <w:rPr>
          <w:rFonts w:ascii="Arial" w:hAnsi="Arial" w:cs="Arial"/>
          <w:b/>
        </w:rPr>
      </w:pPr>
    </w:p>
    <w:p w:rsidR="00000000" w:rsidRDefault="00BC67ED">
      <w:pPr>
        <w:spacing w:line="480" w:lineRule="auto"/>
        <w:ind w:left="720"/>
        <w:jc w:val="both"/>
        <w:rPr>
          <w:rFonts w:ascii="Arial" w:hAnsi="Arial" w:cs="Arial"/>
          <w:b/>
          <w:i/>
        </w:rPr>
      </w:pPr>
      <w:r>
        <w:rPr>
          <w:rFonts w:ascii="Arial" w:hAnsi="Arial" w:cs="Arial"/>
          <w:b/>
          <w:i/>
        </w:rPr>
        <w:t>Variable # 23: Histología</w:t>
      </w:r>
    </w:p>
    <w:p w:rsidR="00000000" w:rsidRDefault="00BC67ED">
      <w:pPr>
        <w:spacing w:line="480" w:lineRule="auto"/>
        <w:ind w:left="723"/>
        <w:jc w:val="both"/>
        <w:rPr>
          <w:rFonts w:ascii="Arial" w:hAnsi="Arial" w:cs="Arial"/>
        </w:rPr>
      </w:pPr>
      <w:r>
        <w:rPr>
          <w:rFonts w:ascii="Arial" w:hAnsi="Arial" w:cs="Arial"/>
        </w:rPr>
        <w:t xml:space="preserve">Como podemos observar en la figura 3-23 la mayor parte de los pacientes que se han realizado los exámenes se les </w:t>
      </w:r>
      <w:r>
        <w:rPr>
          <w:rFonts w:ascii="Arial" w:hAnsi="Arial" w:cs="Arial"/>
        </w:rPr>
        <w:t>pudo comprobar esofagitis crónica inespecífica que representa el 85,8% del total de pacientes, mientras que existe un porcentaje del 9,2% se les ha detectado esófago de barret y el resto de pacientes se les han detectado una esofagitis mas grave y que ocup</w:t>
      </w:r>
      <w:r>
        <w:rPr>
          <w:rFonts w:ascii="Arial" w:hAnsi="Arial" w:cs="Arial"/>
        </w:rPr>
        <w:t>a 9,2% del total.</w:t>
      </w:r>
    </w:p>
    <w:p w:rsidR="00000000" w:rsidRDefault="00BC67ED">
      <w:pPr>
        <w:spacing w:line="360" w:lineRule="auto"/>
        <w:ind w:left="339"/>
        <w:jc w:val="center"/>
        <w:rPr>
          <w:rFonts w:ascii="Arial" w:hAnsi="Arial" w:cs="Arial"/>
          <w:b/>
        </w:rPr>
      </w:pPr>
    </w:p>
    <w:p w:rsidR="00000000" w:rsidRDefault="00BC67ED">
      <w:pPr>
        <w:spacing w:line="360" w:lineRule="auto"/>
        <w:ind w:left="339"/>
        <w:jc w:val="center"/>
        <w:rPr>
          <w:rFonts w:ascii="Arial" w:hAnsi="Arial" w:cs="Arial"/>
          <w:b/>
        </w:rPr>
      </w:pPr>
    </w:p>
    <w:p w:rsidR="00000000" w:rsidRDefault="00BC67ED">
      <w:pPr>
        <w:spacing w:line="360" w:lineRule="auto"/>
        <w:ind w:left="339"/>
        <w:jc w:val="center"/>
        <w:rPr>
          <w:rFonts w:ascii="Arial" w:hAnsi="Arial" w:cs="Arial"/>
          <w:b/>
        </w:rPr>
      </w:pPr>
      <w:r>
        <w:rPr>
          <w:rFonts w:ascii="Arial" w:hAnsi="Arial" w:cs="Arial"/>
          <w:b/>
        </w:rPr>
        <w:t>FIGURA 3-23</w:t>
      </w:r>
    </w:p>
    <w:p w:rsidR="00000000" w:rsidRDefault="00BC67ED">
      <w:pPr>
        <w:ind w:left="339"/>
        <w:jc w:val="center"/>
        <w:rPr>
          <w:rFonts w:ascii="Arial" w:hAnsi="Arial" w:cs="Arial"/>
          <w:b/>
          <w:caps/>
        </w:rPr>
      </w:pPr>
      <w:r>
        <w:rPr>
          <w:rFonts w:ascii="Arial" w:hAnsi="Arial" w:cs="Arial"/>
          <w:b/>
        </w:rPr>
        <w:t xml:space="preserve">HISTOGRAMA DE FRECUENCIA DE </w:t>
      </w:r>
      <w:r>
        <w:rPr>
          <w:rFonts w:ascii="Arial" w:hAnsi="Arial" w:cs="Arial"/>
          <w:b/>
          <w:caps/>
        </w:rPr>
        <w:t xml:space="preserve">la </w:t>
      </w:r>
    </w:p>
    <w:p w:rsidR="00000000" w:rsidRDefault="00BC67ED">
      <w:pPr>
        <w:ind w:left="339"/>
        <w:jc w:val="center"/>
        <w:rPr>
          <w:rFonts w:ascii="Arial" w:hAnsi="Arial" w:cs="Arial"/>
          <w:b/>
          <w:caps/>
        </w:rPr>
      </w:pPr>
      <w:r>
        <w:rPr>
          <w:rFonts w:ascii="Arial" w:hAnsi="Arial" w:cs="Arial"/>
          <w:b/>
        </w:rPr>
        <w:t xml:space="preserve">HISTOPATOLOGIA </w:t>
      </w:r>
      <w:r>
        <w:rPr>
          <w:rFonts w:ascii="Arial" w:hAnsi="Arial" w:cs="Arial"/>
          <w:b/>
          <w:caps/>
        </w:rPr>
        <w:t>Del paciente</w:t>
      </w:r>
    </w:p>
    <w:p w:rsidR="00000000" w:rsidRDefault="00BC67ED">
      <w:pPr>
        <w:ind w:left="339"/>
        <w:jc w:val="center"/>
        <w:rPr>
          <w:rFonts w:ascii="Arial" w:hAnsi="Arial" w:cs="Arial"/>
          <w:b/>
        </w:rPr>
      </w:pPr>
      <w:r>
        <w:rPr>
          <w:rFonts w:ascii="Arial" w:hAnsi="Arial" w:cs="Arial"/>
          <w:b/>
        </w:rPr>
        <w:t>(Cáncer de Esófago)</w:t>
      </w:r>
    </w:p>
    <w:p w:rsidR="00000000" w:rsidRDefault="00221239">
      <w:pPr>
        <w:spacing w:line="480" w:lineRule="auto"/>
        <w:ind w:left="708"/>
        <w:jc w:val="both"/>
        <w:rPr>
          <w:rFonts w:ascii="Arial" w:hAnsi="Arial" w:cs="Arial"/>
        </w:rPr>
      </w:pPr>
      <w:r>
        <w:rPr>
          <w:noProof/>
          <w:lang w:val="es-ES" w:eastAsia="es-ES"/>
        </w:rPr>
        <w:drawing>
          <wp:inline distT="0" distB="0" distL="0" distR="0">
            <wp:extent cx="4638040" cy="3364865"/>
            <wp:effectExtent l="0" t="0" r="0" b="0"/>
            <wp:docPr id="144" name="Objeto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r w:rsidR="00BC67ED">
        <w:rPr>
          <w:rFonts w:ascii="Arial" w:hAnsi="Arial" w:cs="Arial"/>
        </w:rPr>
        <w:t>En la Tabla V, presentamos la estadística descriptiva de esta variable, tenemos que el valor de la media aritmética</w:t>
      </w:r>
      <w:r w:rsidR="00BC67ED">
        <w:rPr>
          <w:rFonts w:ascii="Arial" w:hAnsi="Arial" w:cs="Arial"/>
        </w:rPr>
        <w:t xml:space="preserve"> es de 1,533.</w:t>
      </w:r>
    </w:p>
    <w:p w:rsidR="00000000" w:rsidRDefault="00BC67ED">
      <w:pPr>
        <w:spacing w:line="480" w:lineRule="auto"/>
        <w:ind w:left="723"/>
        <w:jc w:val="both"/>
        <w:rPr>
          <w:rFonts w:ascii="Arial" w:hAnsi="Arial" w:cs="Arial"/>
        </w:rPr>
      </w:pPr>
      <w:r>
        <w:rPr>
          <w:rFonts w:ascii="Arial" w:hAnsi="Arial" w:cs="Arial"/>
        </w:rPr>
        <w:t>El sesgo de esta variable es 2,18 esto significa que la distribución de la variable esta sesgada positivamente.</w:t>
      </w:r>
    </w:p>
    <w:p w:rsidR="00000000" w:rsidRDefault="00BC67ED">
      <w:pPr>
        <w:spacing w:line="480" w:lineRule="auto"/>
        <w:ind w:left="723"/>
        <w:jc w:val="both"/>
        <w:rPr>
          <w:rFonts w:ascii="Arial" w:hAnsi="Arial" w:cs="Arial"/>
        </w:rPr>
      </w:pPr>
      <w:r>
        <w:rPr>
          <w:rFonts w:ascii="Arial" w:hAnsi="Arial" w:cs="Arial"/>
        </w:rPr>
        <w:t>La varianza de los datos de esta variable es de 1,561, lo cual nos indica que existe una poca variabilidad de los datos.</w:t>
      </w:r>
    </w:p>
    <w:p w:rsidR="00000000" w:rsidRDefault="00BC67ED">
      <w:pPr>
        <w:spacing w:line="480" w:lineRule="auto"/>
        <w:ind w:left="723"/>
        <w:jc w:val="both"/>
        <w:rPr>
          <w:rFonts w:ascii="Arial" w:hAnsi="Arial" w:cs="Arial"/>
        </w:rPr>
      </w:pPr>
    </w:p>
    <w:p w:rsidR="00000000" w:rsidRDefault="00BC67ED">
      <w:pPr>
        <w:spacing w:line="480" w:lineRule="auto"/>
        <w:ind w:left="723"/>
        <w:jc w:val="both"/>
        <w:rPr>
          <w:rFonts w:ascii="Arial" w:hAnsi="Arial" w:cs="Arial"/>
        </w:rPr>
      </w:pPr>
      <w:r>
        <w:rPr>
          <w:rFonts w:ascii="Arial" w:hAnsi="Arial" w:cs="Arial"/>
        </w:rPr>
        <w:t xml:space="preserve">Además, </w:t>
      </w:r>
      <w:r>
        <w:rPr>
          <w:rFonts w:ascii="Arial" w:hAnsi="Arial" w:cs="Arial"/>
        </w:rPr>
        <w:t>como es posible apreciar en el gráfico, la distribución de esta variable no es simétrica. También podemos afirmar que con el 95% de confianza el valor de la media aritmética de esta variable se encontrara en el intervalo [1,76, 1,31], el coeficiente de Cur</w:t>
      </w:r>
      <w:r>
        <w:rPr>
          <w:rFonts w:ascii="Arial" w:hAnsi="Arial" w:cs="Arial"/>
        </w:rPr>
        <w:t xml:space="preserve">tosis es 3,16, lo que nos permite especificar que la distribución de esta variable es de tipo leptocúrtica.  </w:t>
      </w:r>
    </w:p>
    <w:p w:rsidR="00000000" w:rsidRDefault="00BC67ED">
      <w:pPr>
        <w:spacing w:line="480" w:lineRule="auto"/>
        <w:ind w:left="339"/>
        <w:jc w:val="center"/>
      </w:pPr>
    </w:p>
    <w:p w:rsidR="00000000" w:rsidRDefault="00BC67ED">
      <w:pPr>
        <w:spacing w:line="480" w:lineRule="auto"/>
        <w:ind w:left="339"/>
        <w:jc w:val="center"/>
        <w:rPr>
          <w:rFonts w:ascii="Arial" w:hAnsi="Arial" w:cs="Arial"/>
          <w:b/>
        </w:rPr>
      </w:pPr>
      <w:r>
        <w:rPr>
          <w:rFonts w:ascii="Arial" w:hAnsi="Arial" w:cs="Arial"/>
          <w:b/>
        </w:rPr>
        <w:t>TABLA XXIII</w:t>
      </w:r>
    </w:p>
    <w:p w:rsidR="00000000" w:rsidRDefault="00BC67ED">
      <w:pPr>
        <w:ind w:left="339"/>
        <w:jc w:val="center"/>
        <w:rPr>
          <w:rFonts w:ascii="Arial" w:hAnsi="Arial" w:cs="Arial"/>
          <w:b/>
          <w:caps/>
        </w:rPr>
      </w:pPr>
      <w:r>
        <w:rPr>
          <w:rFonts w:ascii="Arial" w:hAnsi="Arial" w:cs="Arial"/>
          <w:b/>
        </w:rPr>
        <w:t xml:space="preserve">ESTADISTICA DESCRITIVA DE </w:t>
      </w:r>
      <w:r>
        <w:rPr>
          <w:rFonts w:ascii="Arial" w:hAnsi="Arial" w:cs="Arial"/>
          <w:b/>
          <w:caps/>
        </w:rPr>
        <w:t xml:space="preserve">la </w:t>
      </w:r>
    </w:p>
    <w:p w:rsidR="00000000" w:rsidRDefault="00BC67ED">
      <w:pPr>
        <w:ind w:left="339"/>
        <w:jc w:val="center"/>
        <w:rPr>
          <w:rFonts w:ascii="Arial" w:hAnsi="Arial" w:cs="Arial"/>
          <w:b/>
          <w:caps/>
        </w:rPr>
      </w:pPr>
      <w:r>
        <w:rPr>
          <w:rFonts w:ascii="Arial" w:hAnsi="Arial" w:cs="Arial"/>
          <w:b/>
        </w:rPr>
        <w:t xml:space="preserve">HISTOPATOLOGIA </w:t>
      </w:r>
      <w:r>
        <w:rPr>
          <w:rFonts w:ascii="Arial" w:hAnsi="Arial" w:cs="Arial"/>
          <w:b/>
          <w:caps/>
        </w:rPr>
        <w:t>Del paciente</w:t>
      </w:r>
    </w:p>
    <w:p w:rsidR="00000000" w:rsidRDefault="00BC67ED">
      <w:pPr>
        <w:spacing w:line="480" w:lineRule="auto"/>
        <w:ind w:left="339"/>
        <w:jc w:val="center"/>
        <w:rPr>
          <w:rFonts w:ascii="Courier New" w:hAnsi="Courier New" w:cs="Courier New"/>
        </w:rPr>
      </w:pPr>
      <w:r>
        <w:rPr>
          <w:rFonts w:ascii="Arial" w:hAnsi="Arial" w:cs="Arial"/>
          <w:b/>
        </w:rPr>
        <w:t>(Cáncer de Esófago)</w:t>
      </w:r>
    </w:p>
    <w:tbl>
      <w:tblPr>
        <w:tblW w:w="4018"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2"/>
        <w:gridCol w:w="1216"/>
      </w:tblGrid>
      <w:tr w:rsidR="00000000">
        <w:trPr>
          <w:trHeight w:val="300"/>
        </w:trPr>
        <w:tc>
          <w:tcPr>
            <w:tcW w:w="2802" w:type="dxa"/>
            <w:noWrap/>
            <w:vAlign w:val="bottom"/>
          </w:tcPr>
          <w:p w:rsidR="00000000" w:rsidRDefault="00BC67ED">
            <w:pPr>
              <w:rPr>
                <w:rFonts w:ascii="Arial" w:hAnsi="Arial" w:cs="Arial"/>
              </w:rPr>
            </w:pPr>
            <w:r>
              <w:rPr>
                <w:rFonts w:ascii="Arial" w:hAnsi="Arial" w:cs="Arial"/>
              </w:rPr>
              <w:t>Media</w:t>
            </w:r>
          </w:p>
        </w:tc>
        <w:tc>
          <w:tcPr>
            <w:tcW w:w="1216" w:type="dxa"/>
            <w:noWrap/>
            <w:vAlign w:val="bottom"/>
          </w:tcPr>
          <w:p w:rsidR="00000000" w:rsidRDefault="00BC67ED">
            <w:pPr>
              <w:jc w:val="right"/>
              <w:rPr>
                <w:rFonts w:ascii="Arial" w:hAnsi="Arial" w:cs="Arial"/>
              </w:rPr>
            </w:pPr>
            <w:r>
              <w:rPr>
                <w:rFonts w:ascii="Arial" w:hAnsi="Arial" w:cs="Arial"/>
              </w:rPr>
              <w:t>1,533</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Error típico</w:t>
            </w:r>
          </w:p>
        </w:tc>
        <w:tc>
          <w:tcPr>
            <w:tcW w:w="1216" w:type="dxa"/>
            <w:noWrap/>
            <w:vAlign w:val="bottom"/>
          </w:tcPr>
          <w:p w:rsidR="00000000" w:rsidRDefault="00BC67ED">
            <w:pPr>
              <w:jc w:val="right"/>
              <w:rPr>
                <w:rFonts w:ascii="Arial" w:hAnsi="Arial" w:cs="Arial"/>
              </w:rPr>
            </w:pPr>
            <w:r>
              <w:rPr>
                <w:rFonts w:ascii="Arial" w:hAnsi="Arial" w:cs="Arial"/>
              </w:rPr>
              <w:t>0,114</w:t>
            </w:r>
          </w:p>
        </w:tc>
      </w:tr>
      <w:tr w:rsidR="00000000">
        <w:trPr>
          <w:trHeight w:val="315"/>
        </w:trPr>
        <w:tc>
          <w:tcPr>
            <w:tcW w:w="2802" w:type="dxa"/>
            <w:noWrap/>
            <w:vAlign w:val="bottom"/>
          </w:tcPr>
          <w:p w:rsidR="00000000" w:rsidRDefault="00BC67ED">
            <w:pPr>
              <w:rPr>
                <w:rFonts w:ascii="Arial" w:hAnsi="Arial" w:cs="Arial"/>
              </w:rPr>
            </w:pPr>
            <w:r>
              <w:rPr>
                <w:rFonts w:ascii="Arial" w:hAnsi="Arial" w:cs="Arial"/>
              </w:rPr>
              <w:t>Desviación estándar</w:t>
            </w:r>
          </w:p>
        </w:tc>
        <w:tc>
          <w:tcPr>
            <w:tcW w:w="1216" w:type="dxa"/>
            <w:noWrap/>
            <w:vAlign w:val="bottom"/>
          </w:tcPr>
          <w:p w:rsidR="00000000" w:rsidRDefault="00BC67ED">
            <w:pPr>
              <w:jc w:val="right"/>
              <w:rPr>
                <w:rFonts w:ascii="Arial" w:hAnsi="Arial" w:cs="Arial"/>
              </w:rPr>
            </w:pPr>
            <w:r>
              <w:rPr>
                <w:rFonts w:ascii="Arial" w:hAnsi="Arial" w:cs="Arial"/>
              </w:rPr>
              <w:t>1,</w:t>
            </w:r>
            <w:r>
              <w:rPr>
                <w:rFonts w:ascii="Arial" w:hAnsi="Arial" w:cs="Arial"/>
              </w:rPr>
              <w:t>249</w:t>
            </w:r>
          </w:p>
        </w:tc>
      </w:tr>
      <w:tr w:rsidR="00000000">
        <w:trPr>
          <w:trHeight w:val="315"/>
        </w:trPr>
        <w:tc>
          <w:tcPr>
            <w:tcW w:w="2802" w:type="dxa"/>
            <w:noWrap/>
            <w:vAlign w:val="bottom"/>
          </w:tcPr>
          <w:p w:rsidR="00000000" w:rsidRDefault="00BC67ED">
            <w:pPr>
              <w:rPr>
                <w:rFonts w:ascii="Arial" w:hAnsi="Arial" w:cs="Arial"/>
              </w:rPr>
            </w:pPr>
            <w:r>
              <w:rPr>
                <w:rFonts w:ascii="Arial" w:hAnsi="Arial" w:cs="Arial"/>
              </w:rPr>
              <w:t xml:space="preserve">Varianza </w:t>
            </w:r>
          </w:p>
        </w:tc>
        <w:tc>
          <w:tcPr>
            <w:tcW w:w="1216" w:type="dxa"/>
            <w:noWrap/>
            <w:vAlign w:val="bottom"/>
          </w:tcPr>
          <w:p w:rsidR="00000000" w:rsidRDefault="00BC67ED">
            <w:pPr>
              <w:jc w:val="right"/>
              <w:rPr>
                <w:rFonts w:ascii="Arial" w:hAnsi="Arial" w:cs="Arial"/>
              </w:rPr>
            </w:pPr>
            <w:r>
              <w:rPr>
                <w:rFonts w:ascii="Arial" w:hAnsi="Arial" w:cs="Arial"/>
              </w:rPr>
              <w:t>1,561</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Curtosis</w:t>
            </w:r>
          </w:p>
        </w:tc>
        <w:tc>
          <w:tcPr>
            <w:tcW w:w="1216" w:type="dxa"/>
            <w:noWrap/>
            <w:vAlign w:val="bottom"/>
          </w:tcPr>
          <w:p w:rsidR="00000000" w:rsidRDefault="00BC67ED">
            <w:pPr>
              <w:jc w:val="right"/>
              <w:rPr>
                <w:rFonts w:ascii="Arial" w:hAnsi="Arial" w:cs="Arial"/>
              </w:rPr>
            </w:pPr>
            <w:r>
              <w:rPr>
                <w:rFonts w:ascii="Arial" w:hAnsi="Arial" w:cs="Arial"/>
              </w:rPr>
              <w:t>3,160</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Sesgo</w:t>
            </w:r>
          </w:p>
        </w:tc>
        <w:tc>
          <w:tcPr>
            <w:tcW w:w="1216" w:type="dxa"/>
            <w:noWrap/>
            <w:vAlign w:val="bottom"/>
          </w:tcPr>
          <w:p w:rsidR="00000000" w:rsidRDefault="00BC67ED">
            <w:pPr>
              <w:jc w:val="right"/>
              <w:rPr>
                <w:rFonts w:ascii="Arial" w:hAnsi="Arial" w:cs="Arial"/>
              </w:rPr>
            </w:pPr>
            <w:r>
              <w:rPr>
                <w:rFonts w:ascii="Arial" w:hAnsi="Arial" w:cs="Arial"/>
              </w:rPr>
              <w:t>2,182</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Superior</w:t>
            </w:r>
            <w:r>
              <w:rPr>
                <w:rFonts w:ascii="Arial" w:hAnsi="Arial" w:cs="Arial"/>
                <w:b/>
                <w:lang w:val="es-ES_tradnl"/>
              </w:rPr>
              <w:t xml:space="preserve">         </w:t>
            </w:r>
          </w:p>
        </w:tc>
        <w:tc>
          <w:tcPr>
            <w:tcW w:w="1216" w:type="dxa"/>
            <w:noWrap/>
            <w:vAlign w:val="bottom"/>
          </w:tcPr>
          <w:p w:rsidR="00000000" w:rsidRDefault="00BC67ED">
            <w:pPr>
              <w:jc w:val="right"/>
              <w:rPr>
                <w:rFonts w:ascii="Arial" w:hAnsi="Arial" w:cs="Arial"/>
              </w:rPr>
            </w:pPr>
            <w:r>
              <w:rPr>
                <w:rFonts w:ascii="Arial" w:hAnsi="Arial" w:cs="Arial"/>
              </w:rPr>
              <w:t>1.76</w:t>
            </w:r>
          </w:p>
        </w:tc>
      </w:tr>
      <w:tr w:rsidR="00000000">
        <w:trPr>
          <w:trHeight w:val="300"/>
        </w:trPr>
        <w:tc>
          <w:tcPr>
            <w:tcW w:w="2802" w:type="dxa"/>
            <w:noWrap/>
            <w:vAlign w:val="bottom"/>
          </w:tcPr>
          <w:p w:rsidR="00000000" w:rsidRDefault="00BC67ED">
            <w:pPr>
              <w:rPr>
                <w:rFonts w:ascii="Arial" w:hAnsi="Arial" w:cs="Arial"/>
              </w:rPr>
            </w:pPr>
            <w:r>
              <w:rPr>
                <w:rFonts w:ascii="Arial" w:hAnsi="Arial" w:cs="Arial"/>
              </w:rPr>
              <w:t>Limite Inferior</w:t>
            </w:r>
          </w:p>
        </w:tc>
        <w:tc>
          <w:tcPr>
            <w:tcW w:w="1216" w:type="dxa"/>
            <w:noWrap/>
            <w:vAlign w:val="bottom"/>
          </w:tcPr>
          <w:p w:rsidR="00000000" w:rsidRDefault="00BC67ED">
            <w:pPr>
              <w:jc w:val="right"/>
              <w:rPr>
                <w:rFonts w:ascii="Arial" w:hAnsi="Arial" w:cs="Arial"/>
              </w:rPr>
            </w:pPr>
            <w:r>
              <w:rPr>
                <w:rFonts w:ascii="Arial" w:hAnsi="Arial" w:cs="Arial"/>
              </w:rPr>
              <w:t>1.31</w:t>
            </w:r>
          </w:p>
        </w:tc>
      </w:tr>
    </w:tbl>
    <w:p w:rsidR="00000000" w:rsidRDefault="00BC67ED">
      <w:pPr>
        <w:spacing w:line="480" w:lineRule="auto"/>
        <w:jc w:val="both"/>
        <w:rPr>
          <w:rFonts w:ascii="Arial" w:hAnsi="Arial" w:cs="Arial"/>
          <w:b/>
        </w:rPr>
      </w:pPr>
    </w:p>
    <w:p w:rsidR="00000000" w:rsidRDefault="00BC67ED">
      <w:pPr>
        <w:spacing w:line="480" w:lineRule="auto"/>
        <w:ind w:left="720"/>
        <w:jc w:val="both"/>
        <w:rPr>
          <w:rFonts w:ascii="Arial" w:hAnsi="Arial" w:cs="Arial"/>
          <w:b/>
          <w:i/>
        </w:rPr>
      </w:pPr>
      <w:r>
        <w:rPr>
          <w:rFonts w:ascii="Arial" w:hAnsi="Arial" w:cs="Arial"/>
          <w:b/>
          <w:i/>
        </w:rPr>
        <w:lastRenderedPageBreak/>
        <w:t>Variable # 24: ADK (Adenocarcinoma)</w:t>
      </w:r>
    </w:p>
    <w:p w:rsidR="00000000" w:rsidRDefault="00BC67ED">
      <w:pPr>
        <w:spacing w:line="480" w:lineRule="auto"/>
        <w:ind w:left="723"/>
        <w:jc w:val="both"/>
        <w:rPr>
          <w:rFonts w:ascii="Arial" w:hAnsi="Arial" w:cs="Arial"/>
        </w:rPr>
      </w:pPr>
      <w:r>
        <w:rPr>
          <w:rFonts w:ascii="Arial" w:hAnsi="Arial" w:cs="Arial"/>
        </w:rPr>
        <w:t xml:space="preserve">Como podemos observar en la figura 3-24 la mayor parte de los pacientes que se han realizado los exámenes no sufre </w:t>
      </w:r>
      <w:r>
        <w:rPr>
          <w:rFonts w:ascii="Arial" w:hAnsi="Arial" w:cs="Arial"/>
        </w:rPr>
        <w:t>de ADK representando un 74,2% del total de pacientes, mientras que un 25,8% de pacientes sufren de ADK, este porcentaje en los últimos años ha venido en aumento peligrosamente.</w:t>
      </w:r>
    </w:p>
    <w:p w:rsidR="00000000" w:rsidRDefault="00BC67ED">
      <w:pPr>
        <w:spacing w:line="480" w:lineRule="auto"/>
        <w:jc w:val="both"/>
        <w:rPr>
          <w:rFonts w:ascii="Arial" w:hAnsi="Arial" w:cs="Arial"/>
          <w:b/>
        </w:rPr>
      </w:pPr>
    </w:p>
    <w:p w:rsidR="00000000" w:rsidRDefault="00BC67ED">
      <w:pPr>
        <w:spacing w:line="360" w:lineRule="auto"/>
        <w:ind w:firstLine="708"/>
        <w:jc w:val="center"/>
        <w:rPr>
          <w:rFonts w:ascii="Arial" w:hAnsi="Arial" w:cs="Arial"/>
          <w:b/>
        </w:rPr>
      </w:pPr>
      <w:r>
        <w:rPr>
          <w:rFonts w:ascii="Arial" w:hAnsi="Arial" w:cs="Arial"/>
          <w:b/>
        </w:rPr>
        <w:t>FIGURA 3-24</w:t>
      </w:r>
    </w:p>
    <w:p w:rsidR="00000000" w:rsidRDefault="00BC67ED">
      <w:pPr>
        <w:ind w:firstLine="708"/>
        <w:jc w:val="center"/>
        <w:rPr>
          <w:rFonts w:ascii="Arial" w:hAnsi="Arial" w:cs="Arial"/>
          <w:b/>
        </w:rPr>
      </w:pPr>
      <w:r>
        <w:rPr>
          <w:rFonts w:ascii="Arial" w:hAnsi="Arial" w:cs="Arial"/>
          <w:b/>
        </w:rPr>
        <w:t>HISTOGRAMA DE FRECUENCIA DE ADK</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spacing w:line="360" w:lineRule="auto"/>
        <w:ind w:left="339"/>
        <w:jc w:val="center"/>
      </w:pPr>
    </w:p>
    <w:p w:rsidR="00000000" w:rsidRDefault="00221239">
      <w:pPr>
        <w:spacing w:line="480" w:lineRule="auto"/>
        <w:ind w:left="1047" w:firstLine="369"/>
        <w:jc w:val="both"/>
      </w:pPr>
      <w:r>
        <w:rPr>
          <w:noProof/>
          <w:lang w:val="es-ES" w:eastAsia="es-ES"/>
        </w:rPr>
        <w:drawing>
          <wp:inline distT="0" distB="0" distL="0" distR="0">
            <wp:extent cx="4243070" cy="2647950"/>
            <wp:effectExtent l="0" t="0" r="0" b="0"/>
            <wp:docPr id="145" name="Objeto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000000" w:rsidRDefault="00BC67ED">
      <w:pPr>
        <w:spacing w:line="480" w:lineRule="auto"/>
        <w:ind w:left="339"/>
        <w:jc w:val="center"/>
      </w:pPr>
    </w:p>
    <w:p w:rsidR="00000000" w:rsidRDefault="00BC67ED">
      <w:pPr>
        <w:spacing w:line="480" w:lineRule="auto"/>
        <w:ind w:left="723"/>
        <w:jc w:val="both"/>
        <w:rPr>
          <w:rFonts w:ascii="Arial" w:hAnsi="Arial" w:cs="Arial"/>
        </w:rPr>
      </w:pPr>
      <w:r>
        <w:rPr>
          <w:rFonts w:ascii="Arial" w:hAnsi="Arial" w:cs="Arial"/>
        </w:rPr>
        <w:t>A continuación se presenta la Tabla XXIV, que nos muestra la frecuencia absoluta, la frecuencia absoluta relativa, la frecuencia acumulada absoluta y la frecuencia acumulada absoluta relativa de la variable ADK.</w:t>
      </w:r>
    </w:p>
    <w:p w:rsidR="00000000" w:rsidRDefault="00BC67ED">
      <w:pPr>
        <w:spacing w:line="360" w:lineRule="auto"/>
        <w:ind w:left="545"/>
        <w:jc w:val="center"/>
        <w:rPr>
          <w:rFonts w:ascii="Arial" w:hAnsi="Arial" w:cs="Arial"/>
          <w:b/>
        </w:rPr>
      </w:pPr>
      <w:r>
        <w:rPr>
          <w:rFonts w:ascii="Arial" w:hAnsi="Arial" w:cs="Arial"/>
          <w:b/>
        </w:rPr>
        <w:lastRenderedPageBreak/>
        <w:t>TABLA XXIV</w:t>
      </w:r>
    </w:p>
    <w:p w:rsidR="00000000" w:rsidRDefault="00BC67ED">
      <w:pPr>
        <w:ind w:left="545"/>
        <w:jc w:val="center"/>
        <w:rPr>
          <w:rFonts w:ascii="Arial" w:hAnsi="Arial" w:cs="Arial"/>
          <w:b/>
          <w:caps/>
        </w:rPr>
      </w:pPr>
      <w:r>
        <w:rPr>
          <w:rFonts w:ascii="Arial" w:hAnsi="Arial" w:cs="Arial"/>
          <w:b/>
          <w:caps/>
        </w:rPr>
        <w:t>paciente que Pad</w:t>
      </w:r>
      <w:r>
        <w:rPr>
          <w:rFonts w:ascii="Arial" w:hAnsi="Arial" w:cs="Arial"/>
          <w:b/>
          <w:caps/>
        </w:rPr>
        <w:t>ece de ADK</w:t>
      </w:r>
    </w:p>
    <w:p w:rsidR="00000000" w:rsidRDefault="00BC67ED">
      <w:pPr>
        <w:ind w:left="545"/>
        <w:jc w:val="center"/>
        <w:rPr>
          <w:rFonts w:ascii="Arial" w:hAnsi="Arial" w:cs="Arial"/>
          <w:b/>
        </w:rPr>
      </w:pPr>
      <w:r>
        <w:rPr>
          <w:rFonts w:ascii="Arial" w:hAnsi="Arial" w:cs="Arial"/>
          <w:b/>
        </w:rPr>
        <w:t>(Cáncer de Esófago)</w:t>
      </w:r>
    </w:p>
    <w:p w:rsidR="00000000" w:rsidRDefault="00BC67ED">
      <w:pPr>
        <w:spacing w:line="480" w:lineRule="auto"/>
        <w:ind w:left="4248"/>
        <w:rPr>
          <w:rFonts w:ascii="Arial" w:hAnsi="Arial" w:cs="Arial"/>
          <w:b/>
        </w:rPr>
      </w:pPr>
    </w:p>
    <w:tbl>
      <w:tblPr>
        <w:tblW w:w="94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660"/>
        <w:gridCol w:w="1200"/>
        <w:gridCol w:w="2020"/>
        <w:gridCol w:w="2100"/>
        <w:gridCol w:w="2260"/>
      </w:tblGrid>
      <w:tr w:rsidR="00000000">
        <w:trPr>
          <w:cantSplit/>
          <w:trHeight w:val="255"/>
        </w:trPr>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Descripción</w:t>
            </w:r>
          </w:p>
        </w:tc>
        <w:tc>
          <w:tcPr>
            <w:tcW w:w="6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Clase</w:t>
            </w:r>
          </w:p>
        </w:tc>
        <w:tc>
          <w:tcPr>
            <w:tcW w:w="12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(fi)</w:t>
            </w:r>
          </w:p>
        </w:tc>
        <w:tc>
          <w:tcPr>
            <w:tcW w:w="202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Absoluta                 Relativa (fi/N)</w:t>
            </w:r>
          </w:p>
        </w:tc>
        <w:tc>
          <w:tcPr>
            <w:tcW w:w="210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(Fi)</w:t>
            </w:r>
          </w:p>
        </w:tc>
        <w:tc>
          <w:tcPr>
            <w:tcW w:w="2260" w:type="dxa"/>
            <w:vMerge w:val="restart"/>
            <w:vAlign w:val="center"/>
          </w:tcPr>
          <w:p w:rsidR="00000000" w:rsidRDefault="00BC67ED">
            <w:pPr>
              <w:jc w:val="center"/>
              <w:rPr>
                <w:rFonts w:ascii="Arial" w:hAnsi="Arial" w:cs="Arial"/>
                <w:b/>
                <w:i/>
                <w:iCs/>
                <w:sz w:val="18"/>
                <w:szCs w:val="18"/>
              </w:rPr>
            </w:pPr>
            <w:r>
              <w:rPr>
                <w:rFonts w:ascii="Arial" w:hAnsi="Arial" w:cs="Arial"/>
                <w:b/>
                <w:i/>
                <w:iCs/>
                <w:sz w:val="18"/>
                <w:szCs w:val="18"/>
              </w:rPr>
              <w:t>Frecuencia Acumulada                 Absoluta Relativa (Fi/N)</w:t>
            </w:r>
          </w:p>
        </w:tc>
      </w:tr>
      <w:tr w:rsidR="00000000">
        <w:trPr>
          <w:cantSplit/>
          <w:trHeight w:val="255"/>
        </w:trPr>
        <w:tc>
          <w:tcPr>
            <w:tcW w:w="1200" w:type="dxa"/>
            <w:vMerge/>
            <w:vAlign w:val="center"/>
          </w:tcPr>
          <w:p w:rsidR="00000000" w:rsidRDefault="00BC67ED">
            <w:pPr>
              <w:rPr>
                <w:rFonts w:ascii="Arial" w:hAnsi="Arial" w:cs="Arial"/>
                <w:i/>
                <w:iCs/>
                <w:sz w:val="20"/>
                <w:szCs w:val="20"/>
              </w:rPr>
            </w:pPr>
          </w:p>
        </w:tc>
        <w:tc>
          <w:tcPr>
            <w:tcW w:w="660" w:type="dxa"/>
            <w:vMerge/>
            <w:vAlign w:val="center"/>
          </w:tcPr>
          <w:p w:rsidR="00000000" w:rsidRDefault="00BC67ED">
            <w:pPr>
              <w:rPr>
                <w:rFonts w:ascii="Arial" w:hAnsi="Arial" w:cs="Arial"/>
                <w:i/>
                <w:iCs/>
                <w:sz w:val="20"/>
                <w:szCs w:val="20"/>
              </w:rPr>
            </w:pPr>
          </w:p>
        </w:tc>
        <w:tc>
          <w:tcPr>
            <w:tcW w:w="1200" w:type="dxa"/>
            <w:vMerge/>
            <w:vAlign w:val="center"/>
          </w:tcPr>
          <w:p w:rsidR="00000000" w:rsidRDefault="00BC67ED">
            <w:pPr>
              <w:rPr>
                <w:rFonts w:ascii="Arial" w:hAnsi="Arial" w:cs="Arial"/>
                <w:i/>
                <w:iCs/>
                <w:sz w:val="20"/>
                <w:szCs w:val="20"/>
              </w:rPr>
            </w:pPr>
          </w:p>
        </w:tc>
        <w:tc>
          <w:tcPr>
            <w:tcW w:w="2020" w:type="dxa"/>
            <w:vMerge/>
            <w:vAlign w:val="center"/>
          </w:tcPr>
          <w:p w:rsidR="00000000" w:rsidRDefault="00BC67ED">
            <w:pPr>
              <w:rPr>
                <w:rFonts w:ascii="Arial" w:hAnsi="Arial" w:cs="Arial"/>
                <w:i/>
                <w:iCs/>
                <w:sz w:val="20"/>
                <w:szCs w:val="20"/>
              </w:rPr>
            </w:pPr>
          </w:p>
        </w:tc>
        <w:tc>
          <w:tcPr>
            <w:tcW w:w="2100" w:type="dxa"/>
            <w:vMerge/>
            <w:vAlign w:val="center"/>
          </w:tcPr>
          <w:p w:rsidR="00000000" w:rsidRDefault="00BC67ED">
            <w:pPr>
              <w:rPr>
                <w:rFonts w:ascii="Arial" w:hAnsi="Arial" w:cs="Arial"/>
                <w:i/>
                <w:iCs/>
                <w:sz w:val="20"/>
                <w:szCs w:val="20"/>
              </w:rPr>
            </w:pPr>
          </w:p>
        </w:tc>
        <w:tc>
          <w:tcPr>
            <w:tcW w:w="2260" w:type="dxa"/>
            <w:vMerge/>
            <w:vAlign w:val="center"/>
          </w:tcPr>
          <w:p w:rsidR="00000000" w:rsidRDefault="00BC67ED">
            <w:pPr>
              <w:rPr>
                <w:rFonts w:ascii="Arial" w:hAnsi="Arial" w:cs="Arial"/>
                <w:i/>
                <w:iCs/>
                <w:sz w:val="20"/>
                <w:szCs w:val="20"/>
              </w:rPr>
            </w:pPr>
          </w:p>
        </w:tc>
      </w:tr>
      <w:tr w:rsidR="00000000">
        <w:trPr>
          <w:trHeight w:val="300"/>
        </w:trPr>
        <w:tc>
          <w:tcPr>
            <w:tcW w:w="12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A.</w:t>
            </w:r>
            <w:r>
              <w:rPr>
                <w:rFonts w:ascii="Arial" w:hAnsi="Arial" w:cs="Arial"/>
                <w:bCs/>
                <w:i/>
                <w:iCs/>
                <w:sz w:val="20"/>
                <w:szCs w:val="20"/>
              </w:rPr>
              <w:t>D.K. (+)</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0</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31</w:t>
            </w:r>
          </w:p>
        </w:tc>
        <w:tc>
          <w:tcPr>
            <w:tcW w:w="2020" w:type="dxa"/>
            <w:noWrap/>
            <w:vAlign w:val="bottom"/>
          </w:tcPr>
          <w:p w:rsidR="00000000" w:rsidRDefault="00BC67ED">
            <w:pPr>
              <w:jc w:val="center"/>
              <w:rPr>
                <w:rFonts w:ascii="Arial" w:hAnsi="Arial" w:cs="Arial"/>
                <w:i/>
                <w:sz w:val="20"/>
                <w:szCs w:val="20"/>
              </w:rPr>
            </w:pPr>
            <w:r>
              <w:rPr>
                <w:rFonts w:ascii="Arial" w:hAnsi="Arial" w:cs="Arial"/>
                <w:i/>
                <w:sz w:val="20"/>
                <w:szCs w:val="20"/>
              </w:rPr>
              <w:t>25,83%</w:t>
            </w:r>
          </w:p>
        </w:tc>
        <w:tc>
          <w:tcPr>
            <w:tcW w:w="2100" w:type="dxa"/>
            <w:noWrap/>
            <w:vAlign w:val="bottom"/>
          </w:tcPr>
          <w:p w:rsidR="00000000" w:rsidRDefault="00BC67ED">
            <w:pPr>
              <w:jc w:val="center"/>
              <w:rPr>
                <w:rFonts w:ascii="Arial" w:hAnsi="Arial" w:cs="Arial"/>
                <w:i/>
                <w:sz w:val="20"/>
                <w:szCs w:val="20"/>
              </w:rPr>
            </w:pPr>
            <w:r>
              <w:rPr>
                <w:rFonts w:ascii="Arial" w:hAnsi="Arial" w:cs="Arial"/>
                <w:i/>
                <w:sz w:val="20"/>
                <w:szCs w:val="20"/>
              </w:rPr>
              <w:t>31</w:t>
            </w:r>
          </w:p>
        </w:tc>
        <w:tc>
          <w:tcPr>
            <w:tcW w:w="2260" w:type="dxa"/>
            <w:noWrap/>
            <w:vAlign w:val="bottom"/>
          </w:tcPr>
          <w:p w:rsidR="00000000" w:rsidRDefault="00BC67ED">
            <w:pPr>
              <w:jc w:val="center"/>
              <w:rPr>
                <w:rFonts w:ascii="Arial" w:hAnsi="Arial" w:cs="Arial"/>
                <w:i/>
                <w:sz w:val="20"/>
                <w:szCs w:val="20"/>
              </w:rPr>
            </w:pPr>
            <w:r>
              <w:rPr>
                <w:rFonts w:ascii="Arial" w:hAnsi="Arial" w:cs="Arial"/>
                <w:i/>
                <w:sz w:val="20"/>
                <w:szCs w:val="20"/>
              </w:rPr>
              <w:t>25,83%</w:t>
            </w:r>
          </w:p>
        </w:tc>
      </w:tr>
      <w:tr w:rsidR="00000000">
        <w:trPr>
          <w:trHeight w:val="315"/>
        </w:trPr>
        <w:tc>
          <w:tcPr>
            <w:tcW w:w="1200" w:type="dxa"/>
            <w:noWrap/>
            <w:vAlign w:val="bottom"/>
          </w:tcPr>
          <w:p w:rsidR="00000000" w:rsidRDefault="00BC67ED">
            <w:pPr>
              <w:jc w:val="center"/>
              <w:rPr>
                <w:rFonts w:ascii="Arial" w:hAnsi="Arial" w:cs="Arial"/>
                <w:bCs/>
                <w:i/>
                <w:iCs/>
                <w:sz w:val="20"/>
                <w:szCs w:val="20"/>
              </w:rPr>
            </w:pPr>
            <w:r>
              <w:rPr>
                <w:rFonts w:ascii="Arial" w:hAnsi="Arial" w:cs="Arial"/>
                <w:bCs/>
                <w:i/>
                <w:iCs/>
                <w:sz w:val="20"/>
                <w:szCs w:val="20"/>
              </w:rPr>
              <w:t>A.D.K. (-)</w:t>
            </w:r>
          </w:p>
        </w:tc>
        <w:tc>
          <w:tcPr>
            <w:tcW w:w="660" w:type="dxa"/>
            <w:noWrap/>
            <w:vAlign w:val="bottom"/>
          </w:tcPr>
          <w:p w:rsidR="00000000" w:rsidRDefault="00BC67ED">
            <w:pPr>
              <w:jc w:val="center"/>
              <w:rPr>
                <w:rFonts w:ascii="Arial" w:hAnsi="Arial" w:cs="Arial"/>
                <w:i/>
                <w:sz w:val="20"/>
                <w:szCs w:val="20"/>
              </w:rPr>
            </w:pPr>
            <w:r>
              <w:rPr>
                <w:rFonts w:ascii="Arial" w:hAnsi="Arial" w:cs="Arial"/>
                <w:i/>
                <w:sz w:val="20"/>
                <w:szCs w:val="20"/>
              </w:rPr>
              <w:t>1</w:t>
            </w:r>
          </w:p>
        </w:tc>
        <w:tc>
          <w:tcPr>
            <w:tcW w:w="1200" w:type="dxa"/>
            <w:noWrap/>
            <w:vAlign w:val="bottom"/>
          </w:tcPr>
          <w:p w:rsidR="00000000" w:rsidRDefault="00BC67ED">
            <w:pPr>
              <w:jc w:val="center"/>
              <w:rPr>
                <w:rFonts w:ascii="Arial" w:hAnsi="Arial" w:cs="Arial"/>
                <w:i/>
                <w:sz w:val="20"/>
                <w:szCs w:val="20"/>
              </w:rPr>
            </w:pPr>
            <w:r>
              <w:rPr>
                <w:rFonts w:ascii="Arial" w:hAnsi="Arial" w:cs="Arial"/>
                <w:i/>
                <w:sz w:val="20"/>
                <w:szCs w:val="20"/>
              </w:rPr>
              <w:t>89</w:t>
            </w:r>
          </w:p>
        </w:tc>
        <w:tc>
          <w:tcPr>
            <w:tcW w:w="2020" w:type="dxa"/>
            <w:noWrap/>
            <w:vAlign w:val="bottom"/>
          </w:tcPr>
          <w:p w:rsidR="00000000" w:rsidRDefault="00BC67ED">
            <w:pPr>
              <w:jc w:val="center"/>
              <w:rPr>
                <w:rFonts w:ascii="Arial" w:hAnsi="Arial" w:cs="Arial"/>
                <w:i/>
                <w:sz w:val="20"/>
                <w:szCs w:val="20"/>
              </w:rPr>
            </w:pPr>
            <w:r>
              <w:rPr>
                <w:rFonts w:ascii="Arial" w:hAnsi="Arial" w:cs="Arial"/>
                <w:i/>
                <w:sz w:val="20"/>
                <w:szCs w:val="20"/>
              </w:rPr>
              <w:t>74,17%</w:t>
            </w:r>
          </w:p>
        </w:tc>
        <w:tc>
          <w:tcPr>
            <w:tcW w:w="2100" w:type="dxa"/>
            <w:noWrap/>
            <w:vAlign w:val="bottom"/>
          </w:tcPr>
          <w:p w:rsidR="00000000" w:rsidRDefault="00BC67ED">
            <w:pPr>
              <w:jc w:val="center"/>
              <w:rPr>
                <w:rFonts w:ascii="Arial" w:hAnsi="Arial" w:cs="Arial"/>
                <w:i/>
                <w:sz w:val="20"/>
                <w:szCs w:val="20"/>
              </w:rPr>
            </w:pPr>
            <w:r>
              <w:rPr>
                <w:rFonts w:ascii="Arial" w:hAnsi="Arial" w:cs="Arial"/>
                <w:i/>
                <w:sz w:val="20"/>
                <w:szCs w:val="20"/>
              </w:rPr>
              <w:t>120</w:t>
            </w:r>
          </w:p>
        </w:tc>
        <w:tc>
          <w:tcPr>
            <w:tcW w:w="2260" w:type="dxa"/>
            <w:noWrap/>
            <w:vAlign w:val="bottom"/>
          </w:tcPr>
          <w:p w:rsidR="00000000" w:rsidRDefault="00BC67ED">
            <w:pPr>
              <w:jc w:val="center"/>
              <w:rPr>
                <w:rFonts w:ascii="Arial" w:hAnsi="Arial" w:cs="Arial"/>
                <w:i/>
                <w:sz w:val="20"/>
                <w:szCs w:val="20"/>
              </w:rPr>
            </w:pPr>
            <w:r>
              <w:rPr>
                <w:rFonts w:ascii="Arial" w:hAnsi="Arial" w:cs="Arial"/>
                <w:i/>
                <w:sz w:val="20"/>
                <w:szCs w:val="20"/>
              </w:rPr>
              <w:t>100%</w:t>
            </w:r>
          </w:p>
        </w:tc>
      </w:tr>
    </w:tbl>
    <w:p w:rsidR="00000000" w:rsidRDefault="00BC67ED">
      <w:pPr>
        <w:spacing w:line="480" w:lineRule="auto"/>
        <w:jc w:val="both"/>
        <w:rPr>
          <w:rFonts w:ascii="Arial" w:hAnsi="Arial" w:cs="Arial"/>
          <w:b/>
        </w:rPr>
      </w:pPr>
    </w:p>
    <w:p w:rsidR="00000000" w:rsidRDefault="00BC67ED">
      <w:pPr>
        <w:spacing w:line="480" w:lineRule="auto"/>
        <w:jc w:val="both"/>
        <w:rPr>
          <w:rFonts w:ascii="Arial" w:hAnsi="Arial" w:cs="Arial"/>
          <w:b/>
        </w:rPr>
      </w:pPr>
    </w:p>
    <w:p w:rsidR="00000000" w:rsidRDefault="00BC67ED">
      <w:pPr>
        <w:spacing w:line="480" w:lineRule="auto"/>
        <w:jc w:val="both"/>
        <w:rPr>
          <w:rFonts w:ascii="Arial" w:hAnsi="Arial" w:cs="Arial"/>
          <w:b/>
        </w:rPr>
      </w:pPr>
    </w:p>
    <w:p w:rsidR="00000000" w:rsidRDefault="00BC67ED" w:rsidP="00BC67ED">
      <w:pPr>
        <w:numPr>
          <w:ilvl w:val="1"/>
          <w:numId w:val="30"/>
        </w:numPr>
        <w:tabs>
          <w:tab w:val="clear" w:pos="1797"/>
          <w:tab w:val="num" w:pos="720"/>
        </w:tabs>
        <w:spacing w:line="480" w:lineRule="auto"/>
        <w:ind w:left="720"/>
        <w:jc w:val="both"/>
        <w:rPr>
          <w:rFonts w:ascii="Arial" w:hAnsi="Arial" w:cs="Arial"/>
          <w:b/>
        </w:rPr>
      </w:pPr>
      <w:r>
        <w:rPr>
          <w:rFonts w:ascii="Arial" w:hAnsi="Arial" w:cs="Arial"/>
          <w:b/>
        </w:rPr>
        <w:t>TABLAS DE CONTINGENCIA</w:t>
      </w:r>
    </w:p>
    <w:p w:rsidR="00000000" w:rsidRDefault="00BC67ED">
      <w:pPr>
        <w:spacing w:line="480" w:lineRule="auto"/>
        <w:ind w:left="708"/>
        <w:jc w:val="both"/>
        <w:rPr>
          <w:rFonts w:ascii="Arial" w:hAnsi="Arial" w:cs="Arial"/>
          <w:b/>
          <w:sz w:val="28"/>
          <w:szCs w:val="28"/>
        </w:rPr>
      </w:pPr>
      <w:r>
        <w:rPr>
          <w:rFonts w:ascii="Arial" w:hAnsi="Arial" w:cs="Arial"/>
        </w:rPr>
        <w:t>En cada uno de los casos que se analizarán a continuación  queremos investigar la dependencia o contingencia entre dos criterios de clasificación. Además, el objetiv</w:t>
      </w:r>
      <w:r>
        <w:rPr>
          <w:rFonts w:ascii="Arial" w:hAnsi="Arial" w:cs="Arial"/>
        </w:rPr>
        <w:t>o de este análisis consiste en determinar las variables que serán seleccionadas para el estudio</w:t>
      </w:r>
      <w:r>
        <w:rPr>
          <w:rFonts w:ascii="Arial" w:hAnsi="Arial" w:cs="Arial"/>
        </w:rPr>
        <w:lastRenderedPageBreak/>
        <w:t xml:space="preserve"> de la Regresión de Cox, ya que se tomarán las variables que  tienen un valor p significativo, es decir un valor p menor a 0,05.</w:t>
      </w:r>
    </w:p>
    <w:p w:rsidR="00000000" w:rsidRDefault="00BC67ED">
      <w:pPr>
        <w:spacing w:line="360" w:lineRule="auto"/>
        <w:ind w:left="3"/>
        <w:jc w:val="both"/>
      </w:pPr>
    </w:p>
    <w:p w:rsidR="00000000" w:rsidRDefault="00BC67ED">
      <w:pPr>
        <w:spacing w:line="360" w:lineRule="auto"/>
        <w:ind w:left="3"/>
        <w:jc w:val="both"/>
      </w:pPr>
    </w:p>
    <w:p w:rsidR="00000000" w:rsidRDefault="00BC67ED">
      <w:pPr>
        <w:pStyle w:val="Ttulo3"/>
        <w:spacing w:before="0" w:after="0" w:line="480" w:lineRule="auto"/>
        <w:ind w:left="708"/>
        <w:jc w:val="both"/>
      </w:pPr>
      <w:r>
        <w:t>Prueba de independencia: Tabac</w:t>
      </w:r>
      <w:r>
        <w:t>o vs. Esófago de Barret</w:t>
      </w:r>
    </w:p>
    <w:p w:rsidR="00000000" w:rsidRDefault="00BC67ED">
      <w:pPr>
        <w:pStyle w:val="Textoindependiente"/>
        <w:spacing w:line="480" w:lineRule="auto"/>
        <w:ind w:left="708"/>
        <w:rPr>
          <w:rFonts w:ascii="Arial" w:hAnsi="Arial"/>
        </w:rPr>
      </w:pPr>
      <w:r>
        <w:rPr>
          <w:rFonts w:ascii="Arial" w:hAnsi="Arial"/>
        </w:rPr>
        <w:t>Se desea saber si el Tabaco es independiente del Esófago de Barret. La tabla a continuación muestra la contingencia para este par de variables.</w:t>
      </w:r>
    </w:p>
    <w:p w:rsidR="00000000" w:rsidRDefault="00BC67ED">
      <w:pPr>
        <w:pStyle w:val="Textoindependiente"/>
        <w:spacing w:line="480" w:lineRule="auto"/>
        <w:ind w:left="708"/>
        <w:rPr>
          <w:rFonts w:ascii="Arial" w:hAnsi="Arial"/>
        </w:rPr>
      </w:pPr>
    </w:p>
    <w:p w:rsidR="00000000" w:rsidRDefault="00BC67ED">
      <w:pPr>
        <w:pStyle w:val="Textoindependiente"/>
        <w:spacing w:line="480" w:lineRule="auto"/>
        <w:ind w:left="708"/>
        <w:rPr>
          <w:rFonts w:ascii="Arial" w:hAnsi="Arial"/>
        </w:rPr>
      </w:pP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lastRenderedPageBreak/>
        <w:t>Tabla XXV</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spacing w:line="360" w:lineRule="auto"/>
        <w:ind w:left="1044"/>
        <w:jc w:val="center"/>
        <w:rPr>
          <w:rFonts w:ascii="Arial" w:hAnsi="Arial" w:cs="Arial"/>
          <w:sz w:val="20"/>
          <w:szCs w:val="20"/>
        </w:rPr>
      </w:pPr>
      <w:r>
        <w:rPr>
          <w:rFonts w:ascii="Arial" w:hAnsi="Arial" w:cs="Arial"/>
          <w:b/>
        </w:rPr>
        <w:t>Tabaco  vs. Esófago de Barret</w:t>
      </w:r>
    </w:p>
    <w:p w:rsidR="00000000" w:rsidRDefault="00BC67ED">
      <w:pPr>
        <w:spacing w:line="360" w:lineRule="auto"/>
        <w:ind w:left="1044"/>
        <w:jc w:val="both"/>
        <w:rPr>
          <w:rFonts w:ascii="Arial" w:hAnsi="Arial" w:cs="Arial"/>
          <w:sz w:val="20"/>
          <w:szCs w:val="20"/>
        </w:rPr>
      </w:pPr>
      <w:r>
        <w:rPr>
          <w:rFonts w:ascii="Arial" w:hAnsi="Arial" w:cs="Arial"/>
          <w:noProof/>
          <w:sz w:val="20"/>
          <w:szCs w:val="20"/>
        </w:rPr>
        <w:pict>
          <v:shape id="_x0000_s1036" type="#_x0000_t202" style="position:absolute;left:0;text-align:left;margin-left:1in;margin-top:7.05pt;width:342pt;height:247.7pt;z-index:251653120" strokeweight="4.5pt">
            <v:stroke linestyle="thinThick"/>
            <v:textbox style="mso-next-textbox:#_x0000_s1036">
              <w:txbxContent>
                <w:p w:rsidR="00000000" w:rsidRDefault="00BC67ED">
                  <w:pPr>
                    <w:spacing w:line="360" w:lineRule="auto"/>
                    <w:jc w:val="center"/>
                    <w:rPr>
                      <w:rFonts w:ascii="Arial" w:hAnsi="Arial" w:cs="Arial"/>
                      <w:b/>
                    </w:rPr>
                  </w:pPr>
                  <w:r>
                    <w:rPr>
                      <w:rFonts w:ascii="Arial" w:hAnsi="Arial" w:cs="Arial"/>
                      <w:b/>
                    </w:rPr>
                    <w:t>Independencia de variables:          Tabaco</w:t>
                  </w:r>
                </w:p>
                <w:p w:rsidR="00000000" w:rsidRDefault="00BC67ED">
                  <w:pPr>
                    <w:spacing w:line="360" w:lineRule="auto"/>
                    <w:jc w:val="center"/>
                    <w:rPr>
                      <w:rFonts w:ascii="Arial" w:hAnsi="Arial" w:cs="Arial"/>
                      <w:b/>
                    </w:rPr>
                  </w:pPr>
                  <w:r>
                    <w:rPr>
                      <w:rFonts w:ascii="Arial" w:hAnsi="Arial" w:cs="Arial"/>
                      <w:b/>
                    </w:rPr>
                    <w:t xml:space="preserve">                                                           vs. </w:t>
                  </w:r>
                </w:p>
                <w:p w:rsidR="00000000" w:rsidRDefault="00BC67ED">
                  <w:pPr>
                    <w:spacing w:line="360" w:lineRule="auto"/>
                    <w:jc w:val="center"/>
                    <w:rPr>
                      <w:rFonts w:ascii="Arial" w:hAnsi="Arial" w:cs="Arial"/>
                      <w:b/>
                    </w:rPr>
                  </w:pPr>
                  <w:r>
                    <w:rPr>
                      <w:rFonts w:ascii="Arial" w:hAnsi="Arial" w:cs="Arial"/>
                      <w:b/>
                    </w:rPr>
                    <w:t xml:space="preserve">                                                            Esófago de Barret</w:t>
                  </w:r>
                </w:p>
                <w:p w:rsidR="00000000" w:rsidRDefault="00BC67ED"/>
                <w:tbl>
                  <w:tblPr>
                    <w:tblOverlap w:val="never"/>
                    <w:tblW w:w="6037" w:type="dxa"/>
                    <w:jc w:val="center"/>
                    <w:tblCellMar>
                      <w:left w:w="70" w:type="dxa"/>
                      <w:right w:w="70" w:type="dxa"/>
                    </w:tblCellMar>
                    <w:tblLook w:val="0000"/>
                  </w:tblPr>
                  <w:tblGrid>
                    <w:gridCol w:w="707"/>
                    <w:gridCol w:w="752"/>
                    <w:gridCol w:w="1928"/>
                    <w:gridCol w:w="1936"/>
                    <w:gridCol w:w="714"/>
                  </w:tblGrid>
                  <w:tr w:rsidR="00000000">
                    <w:trPr>
                      <w:trHeight w:val="361"/>
                      <w:jc w:val="center"/>
                    </w:trPr>
                    <w:tc>
                      <w:tcPr>
                        <w:tcW w:w="725" w:type="dxa"/>
                        <w:tcBorders>
                          <w:bottom w:val="nil"/>
                        </w:tcBorders>
                      </w:tcPr>
                      <w:p w:rsidR="00000000" w:rsidRDefault="00BC67ED">
                        <w:pPr>
                          <w:suppressOverlap/>
                          <w:rPr>
                            <w:rFonts w:ascii="Arial" w:hAnsi="Arial" w:cs="Arial"/>
                            <w:sz w:val="20"/>
                            <w:szCs w:val="20"/>
                          </w:rPr>
                        </w:pPr>
                      </w:p>
                    </w:tc>
                    <w:tc>
                      <w:tcPr>
                        <w:tcW w:w="752" w:type="dxa"/>
                        <w:tcBorders>
                          <w:bottom w:val="nil"/>
                          <w:right w:val="single" w:sz="4" w:space="0" w:color="auto"/>
                        </w:tcBorders>
                        <w:noWrap/>
                        <w:vAlign w:val="bottom"/>
                      </w:tcPr>
                      <w:p w:rsidR="00000000" w:rsidRDefault="00BC67ED">
                        <w:pPr>
                          <w:suppressOverlap/>
                          <w:rPr>
                            <w:rFonts w:ascii="Arial" w:hAnsi="Arial" w:cs="Arial"/>
                            <w:sz w:val="20"/>
                            <w:szCs w:val="20"/>
                          </w:rPr>
                        </w:pPr>
                      </w:p>
                    </w:tc>
                    <w:tc>
                      <w:tcPr>
                        <w:tcW w:w="3864"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center"/>
                          <w:rPr>
                            <w:rFonts w:ascii="Arial" w:hAnsi="Arial" w:cs="Arial"/>
                            <w:b/>
                          </w:rPr>
                        </w:pPr>
                        <w:r>
                          <w:rPr>
                            <w:rFonts w:ascii="Arial" w:hAnsi="Arial" w:cs="Arial"/>
                            <w:b/>
                          </w:rPr>
                          <w:t>Esófago de Barret</w:t>
                        </w:r>
                      </w:p>
                    </w:tc>
                    <w:tc>
                      <w:tcPr>
                        <w:tcW w:w="696" w:type="dxa"/>
                        <w:tcBorders>
                          <w:left w:val="single" w:sz="4" w:space="0" w:color="auto"/>
                          <w:bottom w:val="nil"/>
                        </w:tcBorders>
                        <w:noWrap/>
                        <w:vAlign w:val="bottom"/>
                      </w:tcPr>
                      <w:p w:rsidR="00000000" w:rsidRDefault="00BC67ED">
                        <w:pPr>
                          <w:suppressOverlap/>
                          <w:rPr>
                            <w:rFonts w:ascii="Arial" w:hAnsi="Arial" w:cs="Arial"/>
                            <w:sz w:val="20"/>
                            <w:szCs w:val="20"/>
                          </w:rPr>
                        </w:pPr>
                        <w:r>
                          <w:rPr>
                            <w:rFonts w:ascii="Arial" w:hAnsi="Arial" w:cs="Arial"/>
                            <w:sz w:val="20"/>
                            <w:szCs w:val="20"/>
                          </w:rPr>
                          <w:t> </w:t>
                        </w:r>
                      </w:p>
                    </w:tc>
                  </w:tr>
                  <w:tr w:rsidR="00000000">
                    <w:trPr>
                      <w:trHeight w:val="261"/>
                      <w:jc w:val="center"/>
                    </w:trPr>
                    <w:tc>
                      <w:tcPr>
                        <w:tcW w:w="725" w:type="dxa"/>
                        <w:tcBorders>
                          <w:bottom w:val="single" w:sz="4" w:space="0" w:color="000000"/>
                        </w:tcBorders>
                      </w:tcPr>
                      <w:p w:rsidR="00000000" w:rsidRDefault="00BC67ED">
                        <w:pPr>
                          <w:suppressOverlap/>
                          <w:rPr>
                            <w:rFonts w:ascii="Arial" w:hAnsi="Arial" w:cs="Arial"/>
                            <w:sz w:val="20"/>
                            <w:szCs w:val="20"/>
                          </w:rPr>
                        </w:pPr>
                      </w:p>
                    </w:tc>
                    <w:tc>
                      <w:tcPr>
                        <w:tcW w:w="752" w:type="dxa"/>
                        <w:tcBorders>
                          <w:bottom w:val="single" w:sz="4" w:space="0" w:color="auto"/>
                          <w:right w:val="single" w:sz="4" w:space="0" w:color="auto"/>
                        </w:tcBorders>
                        <w:noWrap/>
                        <w:vAlign w:val="bottom"/>
                      </w:tcPr>
                      <w:p w:rsidR="00000000" w:rsidRDefault="00BC67ED">
                        <w:pPr>
                          <w:suppressOverlap/>
                          <w:rPr>
                            <w:rFonts w:ascii="Arial" w:hAnsi="Arial" w:cs="Arial"/>
                            <w:sz w:val="20"/>
                            <w:szCs w:val="20"/>
                          </w:rPr>
                        </w:pPr>
                      </w:p>
                    </w:tc>
                    <w:tc>
                      <w:tcPr>
                        <w:tcW w:w="1928"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0</w:t>
                        </w:r>
                      </w:p>
                    </w:tc>
                    <w:tc>
                      <w:tcPr>
                        <w:tcW w:w="1936"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1</w:t>
                        </w:r>
                      </w:p>
                    </w:tc>
                    <w:tc>
                      <w:tcPr>
                        <w:tcW w:w="696"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suppressOverlap/>
                          <w:jc w:val="center"/>
                          <w:rPr>
                            <w:rFonts w:ascii="Arial" w:hAnsi="Arial" w:cs="Arial"/>
                            <w:b/>
                          </w:rPr>
                        </w:pPr>
                        <w:r>
                          <w:rPr>
                            <w:rFonts w:ascii="Arial" w:hAnsi="Arial" w:cs="Arial"/>
                            <w:b/>
                          </w:rPr>
                          <w:t>Total</w:t>
                        </w:r>
                      </w:p>
                    </w:tc>
                  </w:tr>
                  <w:tr w:rsidR="00000000">
                    <w:trPr>
                      <w:cantSplit/>
                      <w:trHeight w:val="422"/>
                      <w:jc w:val="center"/>
                    </w:trPr>
                    <w:tc>
                      <w:tcPr>
                        <w:tcW w:w="725" w:type="dxa"/>
                        <w:vMerge w:val="restart"/>
                        <w:tcBorders>
                          <w:top w:val="single" w:sz="4" w:space="0" w:color="000000"/>
                          <w:left w:val="single" w:sz="4" w:space="0" w:color="000000"/>
                          <w:bottom w:val="single" w:sz="4" w:space="0" w:color="auto"/>
                          <w:right w:val="single" w:sz="4" w:space="0" w:color="auto"/>
                        </w:tcBorders>
                        <w:textDirection w:val="btLr"/>
                        <w:vAlign w:val="center"/>
                      </w:tcPr>
                      <w:p w:rsidR="00000000" w:rsidRDefault="00BC67ED">
                        <w:pPr>
                          <w:ind w:left="113" w:right="113"/>
                          <w:suppressOverlap/>
                          <w:jc w:val="center"/>
                          <w:rPr>
                            <w:rFonts w:ascii="Arial" w:hAnsi="Arial" w:cs="Arial"/>
                            <w:b/>
                          </w:rPr>
                        </w:pPr>
                        <w:r>
                          <w:rPr>
                            <w:rFonts w:ascii="Arial" w:hAnsi="Arial" w:cs="Arial"/>
                            <w:b/>
                          </w:rPr>
                          <w:t>Tabaco</w:t>
                        </w: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0</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2</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61</w:t>
                        </w:r>
                      </w:p>
                    </w:tc>
                    <w:tc>
                      <w:tcPr>
                        <w:tcW w:w="69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63</w:t>
                        </w:r>
                      </w:p>
                    </w:tc>
                  </w:tr>
                  <w:tr w:rsidR="00000000">
                    <w:trPr>
                      <w:cantSplit/>
                      <w:trHeight w:val="432"/>
                      <w:jc w:val="center"/>
                    </w:trPr>
                    <w:tc>
                      <w:tcPr>
                        <w:tcW w:w="725" w:type="dxa"/>
                        <w:vMerge/>
                        <w:tcBorders>
                          <w:left w:val="single" w:sz="4" w:space="0" w:color="000000"/>
                          <w:bottom w:val="single" w:sz="4" w:space="0" w:color="auto"/>
                          <w:right w:val="single" w:sz="4" w:space="0" w:color="auto"/>
                        </w:tcBorders>
                      </w:tcPr>
                      <w:p w:rsidR="00000000" w:rsidRDefault="00BC67ED">
                        <w:pPr>
                          <w:suppressOverlap/>
                          <w:jc w:val="right"/>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 0</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15</w:t>
                        </w:r>
                      </w:p>
                    </w:tc>
                    <w:tc>
                      <w:tcPr>
                        <w:tcW w:w="69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15</w:t>
                        </w:r>
                      </w:p>
                    </w:tc>
                  </w:tr>
                  <w:tr w:rsidR="00000000">
                    <w:trPr>
                      <w:cantSplit/>
                      <w:trHeight w:val="358"/>
                      <w:jc w:val="center"/>
                    </w:trPr>
                    <w:tc>
                      <w:tcPr>
                        <w:tcW w:w="725" w:type="dxa"/>
                        <w:vMerge/>
                        <w:tcBorders>
                          <w:left w:val="single" w:sz="4" w:space="0" w:color="000000"/>
                          <w:bottom w:val="single" w:sz="4" w:space="0" w:color="auto"/>
                          <w:right w:val="single" w:sz="4" w:space="0" w:color="auto"/>
                        </w:tcBorders>
                      </w:tcPr>
                      <w:p w:rsidR="00000000" w:rsidRDefault="00BC67ED">
                        <w:pPr>
                          <w:suppressOverlap/>
                          <w:jc w:val="right"/>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2</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29</w:t>
                        </w:r>
                      </w:p>
                    </w:tc>
                    <w:tc>
                      <w:tcPr>
                        <w:tcW w:w="69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30</w:t>
                        </w:r>
                      </w:p>
                    </w:tc>
                  </w:tr>
                  <w:tr w:rsidR="00000000">
                    <w:trPr>
                      <w:cantSplit/>
                      <w:trHeight w:val="368"/>
                      <w:jc w:val="center"/>
                    </w:trPr>
                    <w:tc>
                      <w:tcPr>
                        <w:tcW w:w="725" w:type="dxa"/>
                        <w:vMerge/>
                        <w:tcBorders>
                          <w:left w:val="single" w:sz="4" w:space="0" w:color="000000"/>
                          <w:bottom w:val="single" w:sz="4" w:space="0" w:color="auto"/>
                          <w:right w:val="single" w:sz="4" w:space="0" w:color="auto"/>
                        </w:tcBorders>
                      </w:tcPr>
                      <w:p w:rsidR="00000000" w:rsidRDefault="00BC67ED">
                        <w:pPr>
                          <w:suppressOverlap/>
                          <w:jc w:val="right"/>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4</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11</w:t>
                        </w:r>
                      </w:p>
                    </w:tc>
                    <w:tc>
                      <w:tcPr>
                        <w:tcW w:w="696"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12</w:t>
                        </w:r>
                      </w:p>
                    </w:tc>
                  </w:tr>
                  <w:tr w:rsidR="00000000">
                    <w:trPr>
                      <w:trHeight w:val="322"/>
                      <w:jc w:val="center"/>
                    </w:trPr>
                    <w:tc>
                      <w:tcPr>
                        <w:tcW w:w="725" w:type="dxa"/>
                        <w:tcBorders>
                          <w:top w:val="single" w:sz="4" w:space="0" w:color="auto"/>
                          <w:right w:val="single" w:sz="4" w:space="0" w:color="auto"/>
                        </w:tcBorders>
                      </w:tcPr>
                      <w:p w:rsidR="00000000" w:rsidRDefault="00BC67ED">
                        <w:pPr>
                          <w:suppressOverlap/>
                          <w:rPr>
                            <w:rFonts w:ascii="Arial" w:hAnsi="Arial" w:cs="Arial"/>
                            <w:sz w:val="20"/>
                            <w:szCs w:val="20"/>
                          </w:rPr>
                        </w:pPr>
                      </w:p>
                    </w:tc>
                    <w:tc>
                      <w:tcPr>
                        <w:tcW w:w="752" w:type="dxa"/>
                        <w:tcBorders>
                          <w:top w:val="single" w:sz="4" w:space="0" w:color="auto"/>
                          <w:left w:val="single" w:sz="4" w:space="0" w:color="auto"/>
                          <w:bottom w:val="single" w:sz="4" w:space="0" w:color="000000"/>
                          <w:right w:val="single" w:sz="4" w:space="0" w:color="auto"/>
                        </w:tcBorders>
                        <w:noWrap/>
                        <w:vAlign w:val="bottom"/>
                      </w:tcPr>
                      <w:p w:rsidR="00000000" w:rsidRDefault="00BC67ED">
                        <w:pPr>
                          <w:suppressOverlap/>
                          <w:jc w:val="center"/>
                          <w:rPr>
                            <w:rFonts w:ascii="Arial" w:hAnsi="Arial" w:cs="Arial"/>
                            <w:b/>
                          </w:rPr>
                        </w:pPr>
                        <w:r>
                          <w:rPr>
                            <w:rFonts w:ascii="Arial" w:hAnsi="Arial" w:cs="Arial"/>
                            <w:b/>
                          </w:rPr>
                          <w:t>Total</w:t>
                        </w:r>
                      </w:p>
                    </w:tc>
                    <w:tc>
                      <w:tcPr>
                        <w:tcW w:w="1928"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4</w:t>
                        </w:r>
                      </w:p>
                    </w:tc>
                    <w:tc>
                      <w:tcPr>
                        <w:tcW w:w="1936"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116</w:t>
                        </w:r>
                      </w:p>
                    </w:tc>
                    <w:tc>
                      <w:tcPr>
                        <w:tcW w:w="696" w:type="dxa"/>
                        <w:tcBorders>
                          <w:top w:val="single" w:sz="4" w:space="0" w:color="auto"/>
                          <w:left w:val="single" w:sz="4" w:space="0" w:color="auto"/>
                          <w:bottom w:val="single" w:sz="4" w:space="0" w:color="000000"/>
                          <w:right w:val="single" w:sz="4" w:space="0" w:color="000000"/>
                        </w:tcBorders>
                        <w:noWrap/>
                        <w:vAlign w:val="bottom"/>
                      </w:tcPr>
                      <w:p w:rsidR="00000000" w:rsidRDefault="00BC67ED">
                        <w:pPr>
                          <w:suppressOverlap/>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txbxContent>
            </v:textbox>
          </v:shape>
        </w:pi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tbl>
      <w:tblPr>
        <w:tblW w:w="0" w:type="auto"/>
        <w:tblInd w:w="1125" w:type="dxa"/>
        <w:tblLook w:val="01E0"/>
      </w:tblPr>
      <w:tblGrid>
        <w:gridCol w:w="692"/>
        <w:gridCol w:w="6199"/>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199" w:type="dxa"/>
          </w:tcPr>
          <w:p w:rsidR="00000000" w:rsidRDefault="00BC67ED">
            <w:pPr>
              <w:pStyle w:val="Textoindependiente"/>
              <w:rPr>
                <w:rFonts w:ascii="Arial" w:hAnsi="Arial"/>
                <w:b/>
              </w:rPr>
            </w:pPr>
            <w:r>
              <w:rPr>
                <w:rFonts w:ascii="Arial" w:hAnsi="Arial"/>
              </w:rPr>
              <w:t>El Tabaco y el Esófago de Barret son  independientes.</w:t>
            </w:r>
          </w:p>
        </w:tc>
      </w:tr>
      <w:tr w:rsidR="00000000">
        <w:tc>
          <w:tcPr>
            <w:tcW w:w="6891"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199"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32"/>
          <w:sz w:val="20"/>
          <w:szCs w:val="20"/>
        </w:rPr>
        <w:object w:dxaOrig="2840" w:dyaOrig="780">
          <v:shape id="_x0000_i1136" type="#_x0000_t75" style="width:153.8pt;height:46.65pt" o:ole="">
            <v:imagedata r:id="rId266" o:title=""/>
          </v:shape>
          <o:OLEObject Type="Embed" ProgID="Equation.3" ShapeID="_x0000_i1136" DrawAspect="Content" ObjectID="_1307787456" r:id="rId267"/>
        </w:objec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b/>
          <w:i/>
          <w:sz w:val="20"/>
          <w:szCs w:val="20"/>
        </w:rPr>
      </w:pPr>
      <w:r>
        <w:rPr>
          <w:rFonts w:ascii="Arial" w:hAnsi="Arial" w:cs="Arial"/>
          <w:position w:val="-6"/>
          <w:sz w:val="20"/>
          <w:szCs w:val="20"/>
        </w:rPr>
        <w:object w:dxaOrig="440" w:dyaOrig="220">
          <v:shape id="_x0000_i1137" type="#_x0000_t75" style="width:21.9pt;height:10.95pt" o:ole="">
            <v:imagedata r:id="rId268" o:title=""/>
          </v:shape>
          <o:OLEObject Type="Embed" ProgID="Equation.3" ShapeID="_x0000_i1137" DrawAspect="Content" ObjectID="_1307787457" r:id="rId269"/>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19" w:dyaOrig="400">
          <v:shape id="_x0000_i1138" type="#_x0000_t75" style="width:214.85pt;height:28.8pt" o:ole="">
            <v:imagedata r:id="rId270" o:title=""/>
          </v:shape>
          <o:OLEObject Type="Embed" ProgID="Equation.3" ShapeID="_x0000_i1138" DrawAspect="Content" ObjectID="_1307787458" r:id="rId271"/>
        </w:object>
      </w:r>
    </w:p>
    <w:p w:rsidR="00000000" w:rsidRDefault="00BC67ED">
      <w:pPr>
        <w:spacing w:line="480" w:lineRule="auto"/>
        <w:ind w:left="1044"/>
        <w:jc w:val="both"/>
        <w:rPr>
          <w:rFonts w:ascii="Arial" w:hAnsi="Arial" w:cs="Arial"/>
        </w:rPr>
      </w:pPr>
    </w:p>
    <w:p w:rsidR="00000000" w:rsidRDefault="00BC67ED">
      <w:pPr>
        <w:spacing w:line="480" w:lineRule="auto"/>
        <w:ind w:left="1044"/>
        <w:jc w:val="both"/>
        <w:rPr>
          <w:rFonts w:ascii="Arial" w:hAnsi="Arial" w:cs="Arial"/>
        </w:rPr>
      </w:pPr>
    </w:p>
    <w:p w:rsidR="00000000" w:rsidRDefault="00BC67ED">
      <w:pPr>
        <w:spacing w:line="480" w:lineRule="auto"/>
        <w:ind w:left="1044"/>
        <w:jc w:val="both"/>
        <w:rPr>
          <w:rFonts w:ascii="Arial" w:hAnsi="Arial" w:cs="Arial"/>
          <w:sz w:val="20"/>
          <w:szCs w:val="20"/>
        </w:rPr>
      </w:pPr>
      <w:r>
        <w:rPr>
          <w:rFonts w:ascii="Arial" w:hAnsi="Arial" w:cs="Arial"/>
        </w:rPr>
        <w:lastRenderedPageBreak/>
        <w:t>Para este caso,</w:t>
      </w:r>
      <w:r>
        <w:rPr>
          <w:rFonts w:ascii="Arial" w:hAnsi="Arial" w:cs="Arial"/>
          <w:position w:val="-14"/>
          <w:sz w:val="20"/>
          <w:szCs w:val="20"/>
        </w:rPr>
        <w:object w:dxaOrig="1500" w:dyaOrig="400">
          <v:shape id="_x0000_i1139" type="#_x0000_t75" style="width:106.55pt;height:28.8pt" o:ole="">
            <v:imagedata r:id="rId272" o:title=""/>
          </v:shape>
          <o:OLEObject Type="Embed" ProgID="Equation.3" ShapeID="_x0000_i1139" DrawAspect="Content" ObjectID="_1307787459" r:id="rId273"/>
        </w:object>
      </w:r>
      <w:r>
        <w:rPr>
          <w:rFonts w:ascii="Arial" w:hAnsi="Arial" w:cs="Arial"/>
        </w:rPr>
        <w:t>, podemos concluir que existe no existe suficiente e</w:t>
      </w:r>
      <w:r>
        <w:rPr>
          <w:rFonts w:ascii="Arial" w:hAnsi="Arial" w:cs="Arial"/>
        </w:rPr>
        <w:t>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es decir que las variables son independientes.</w: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pStyle w:val="Ttulo3"/>
        <w:spacing w:before="0" w:after="0" w:line="480" w:lineRule="auto"/>
        <w:ind w:left="708"/>
        <w:jc w:val="both"/>
      </w:pPr>
      <w:r>
        <w:t>Prueba de independencia</w:t>
      </w:r>
      <w:r>
        <w:rPr>
          <w:sz w:val="24"/>
          <w:szCs w:val="24"/>
        </w:rPr>
        <w:t xml:space="preserve">: </w:t>
      </w:r>
      <w:r>
        <w:t>Esófago de Barret  vs. R. G. E.</w:t>
      </w:r>
    </w:p>
    <w:p w:rsidR="00000000" w:rsidRDefault="00BC67ED">
      <w:pPr>
        <w:pStyle w:val="Textoindependiente"/>
        <w:spacing w:line="480" w:lineRule="auto"/>
        <w:ind w:left="708"/>
        <w:rPr>
          <w:rFonts w:ascii="Arial" w:hAnsi="Arial"/>
        </w:rPr>
      </w:pPr>
      <w:r>
        <w:rPr>
          <w:rFonts w:ascii="Arial" w:hAnsi="Arial"/>
        </w:rPr>
        <w:t>Se desea saber si el Esófago de Barret es independiente del        R. G. E. La tabla a continuac</w:t>
      </w:r>
      <w:r>
        <w:rPr>
          <w:rFonts w:ascii="Arial" w:hAnsi="Arial"/>
        </w:rPr>
        <w:t>ión muestra la contingencia para este par de variables.</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XXVI</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spacing w:line="360" w:lineRule="auto"/>
        <w:ind w:left="1044"/>
        <w:jc w:val="center"/>
        <w:rPr>
          <w:rFonts w:ascii="Arial" w:hAnsi="Arial" w:cs="Arial"/>
          <w:sz w:val="20"/>
          <w:szCs w:val="20"/>
        </w:rPr>
      </w:pPr>
      <w:r>
        <w:rPr>
          <w:rFonts w:ascii="Arial" w:hAnsi="Arial" w:cs="Arial"/>
          <w:noProof/>
          <w:sz w:val="20"/>
          <w:szCs w:val="20"/>
        </w:rPr>
        <w:pict>
          <v:shape id="_x0000_s1037" type="#_x0000_t202" style="position:absolute;left:0;text-align:left;margin-left:1in;margin-top:17.1pt;width:342pt;height:229.45pt;z-index:251654144" strokeweight="4.5pt">
            <v:stroke linestyle="thinThick"/>
            <v:textbox style="mso-next-textbox:#_x0000_s1037">
              <w:txbxContent>
                <w:p w:rsidR="00000000" w:rsidRDefault="00BC67ED">
                  <w:pPr>
                    <w:jc w:val="center"/>
                    <w:rPr>
                      <w:rFonts w:ascii="Arial" w:hAnsi="Arial" w:cs="Arial"/>
                      <w:b/>
                    </w:rPr>
                  </w:pPr>
                  <w:r>
                    <w:rPr>
                      <w:rFonts w:ascii="Arial" w:hAnsi="Arial" w:cs="Arial"/>
                      <w:b/>
                    </w:rPr>
                    <w:t>Independencia de variables:</w:t>
                  </w:r>
                  <w:r>
                    <w:rPr>
                      <w:rFonts w:ascii="Garamond" w:hAnsi="Garamond"/>
                      <w:b/>
                      <w:sz w:val="26"/>
                    </w:rPr>
                    <w:t xml:space="preserve">         </w:t>
                  </w:r>
                  <w:r>
                    <w:rPr>
                      <w:rFonts w:ascii="Arial" w:hAnsi="Arial" w:cs="Arial"/>
                      <w:b/>
                    </w:rPr>
                    <w:t>Esófago de Barret</w:t>
                  </w:r>
                </w:p>
                <w:p w:rsidR="00000000" w:rsidRDefault="00BC67ED">
                  <w:pPr>
                    <w:jc w:val="center"/>
                    <w:rPr>
                      <w:rFonts w:ascii="Arial" w:hAnsi="Arial" w:cs="Arial"/>
                      <w:b/>
                    </w:rPr>
                  </w:pPr>
                  <w:r>
                    <w:rPr>
                      <w:rFonts w:ascii="Arial" w:hAnsi="Arial" w:cs="Arial"/>
                      <w:b/>
                    </w:rPr>
                    <w:t xml:space="preserve">                                                 </w:t>
                  </w:r>
                  <w:r>
                    <w:rPr>
                      <w:rFonts w:ascii="Arial" w:hAnsi="Arial" w:cs="Arial"/>
                      <w:b/>
                    </w:rPr>
                    <w:t xml:space="preserve">          vs.</w:t>
                  </w:r>
                </w:p>
                <w:p w:rsidR="00000000" w:rsidRDefault="00BC67ED">
                  <w:pPr>
                    <w:jc w:val="center"/>
                    <w:rPr>
                      <w:rFonts w:ascii="Arial" w:hAnsi="Arial" w:cs="Arial"/>
                      <w:b/>
                    </w:rPr>
                  </w:pPr>
                  <w:r>
                    <w:rPr>
                      <w:rFonts w:ascii="Arial" w:hAnsi="Arial" w:cs="Arial"/>
                      <w:b/>
                    </w:rPr>
                    <w:t xml:space="preserve">                                                            R. G. E.</w:t>
                  </w:r>
                </w:p>
                <w:p w:rsidR="00000000" w:rsidRDefault="00BC67ED">
                  <w:pPr>
                    <w:jc w:val="center"/>
                    <w:rPr>
                      <w:rFonts w:ascii="Arial" w:hAnsi="Arial" w:cs="Arial"/>
                      <w:b/>
                    </w:rPr>
                  </w:pPr>
                </w:p>
                <w:tbl>
                  <w:tblPr>
                    <w:tblW w:w="4798" w:type="dxa"/>
                    <w:jc w:val="center"/>
                    <w:tblInd w:w="831" w:type="dxa"/>
                    <w:tblCellMar>
                      <w:left w:w="70" w:type="dxa"/>
                      <w:right w:w="70" w:type="dxa"/>
                    </w:tblCellMar>
                    <w:tblLook w:val="0000"/>
                  </w:tblPr>
                  <w:tblGrid>
                    <w:gridCol w:w="874"/>
                    <w:gridCol w:w="752"/>
                    <w:gridCol w:w="968"/>
                    <w:gridCol w:w="976"/>
                    <w:gridCol w:w="1228"/>
                  </w:tblGrid>
                  <w:tr w:rsidR="00000000">
                    <w:trPr>
                      <w:trHeight w:val="255"/>
                      <w:jc w:val="center"/>
                    </w:trPr>
                    <w:tc>
                      <w:tcPr>
                        <w:tcW w:w="874" w:type="dxa"/>
                        <w:tcBorders>
                          <w:bottom w:val="nil"/>
                        </w:tcBorders>
                      </w:tcPr>
                      <w:p w:rsidR="00000000" w:rsidRDefault="00BC67ED">
                        <w:pPr>
                          <w:rPr>
                            <w:rFonts w:ascii="Arial" w:hAnsi="Arial" w:cs="Arial"/>
                            <w:sz w:val="20"/>
                            <w:szCs w:val="20"/>
                          </w:rPr>
                        </w:pPr>
                      </w:p>
                    </w:tc>
                    <w:tc>
                      <w:tcPr>
                        <w:tcW w:w="752" w:type="dxa"/>
                        <w:tcBorders>
                          <w:bottom w:val="nil"/>
                          <w:right w:val="single" w:sz="4" w:space="0" w:color="auto"/>
                        </w:tcBorders>
                        <w:noWrap/>
                        <w:vAlign w:val="bottom"/>
                      </w:tcPr>
                      <w:p w:rsidR="00000000" w:rsidRDefault="00BC67ED">
                        <w:pPr>
                          <w:rPr>
                            <w:rFonts w:ascii="Arial" w:hAnsi="Arial" w:cs="Arial"/>
                            <w:sz w:val="20"/>
                            <w:szCs w:val="20"/>
                          </w:rPr>
                        </w:pPr>
                      </w:p>
                    </w:tc>
                    <w:tc>
                      <w:tcPr>
                        <w:tcW w:w="1944"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R. G. E.</w:t>
                        </w:r>
                      </w:p>
                    </w:tc>
                    <w:tc>
                      <w:tcPr>
                        <w:tcW w:w="1228" w:type="dxa"/>
                        <w:tcBorders>
                          <w:left w:val="single" w:sz="4" w:space="0" w:color="auto"/>
                          <w:bottom w:val="nil"/>
                        </w:tcBorders>
                        <w:noWrap/>
                        <w:vAlign w:val="bottom"/>
                      </w:tcPr>
                      <w:p w:rsidR="00000000" w:rsidRDefault="00BC67ED">
                        <w:pPr>
                          <w:rPr>
                            <w:rFonts w:ascii="Arial" w:hAnsi="Arial" w:cs="Arial"/>
                            <w:sz w:val="20"/>
                            <w:szCs w:val="20"/>
                          </w:rPr>
                        </w:pPr>
                        <w:r>
                          <w:rPr>
                            <w:rFonts w:ascii="Arial" w:hAnsi="Arial" w:cs="Arial"/>
                            <w:sz w:val="20"/>
                            <w:szCs w:val="20"/>
                          </w:rPr>
                          <w:t> </w:t>
                        </w:r>
                      </w:p>
                    </w:tc>
                  </w:tr>
                  <w:tr w:rsidR="00000000">
                    <w:trPr>
                      <w:trHeight w:val="450"/>
                      <w:jc w:val="center"/>
                    </w:trPr>
                    <w:tc>
                      <w:tcPr>
                        <w:tcW w:w="874" w:type="dxa"/>
                        <w:tcBorders>
                          <w:bottom w:val="nil"/>
                        </w:tcBorders>
                      </w:tcPr>
                      <w:p w:rsidR="00000000" w:rsidRDefault="00BC67ED">
                        <w:pPr>
                          <w:rPr>
                            <w:rFonts w:ascii="Arial" w:hAnsi="Arial" w:cs="Arial"/>
                            <w:sz w:val="20"/>
                            <w:szCs w:val="20"/>
                          </w:rPr>
                        </w:pPr>
                      </w:p>
                    </w:tc>
                    <w:tc>
                      <w:tcPr>
                        <w:tcW w:w="752" w:type="dxa"/>
                        <w:tcBorders>
                          <w:bottom w:val="single" w:sz="4" w:space="0" w:color="auto"/>
                          <w:right w:val="single" w:sz="4" w:space="0" w:color="auto"/>
                        </w:tcBorders>
                        <w:noWrap/>
                        <w:vAlign w:val="bottom"/>
                      </w:tcPr>
                      <w:p w:rsidR="00000000" w:rsidRDefault="00BC67ED">
                        <w:pPr>
                          <w:rPr>
                            <w:rFonts w:ascii="Arial" w:hAnsi="Arial" w:cs="Arial"/>
                            <w:sz w:val="20"/>
                            <w:szCs w:val="20"/>
                          </w:rPr>
                        </w:pPr>
                      </w:p>
                    </w:tc>
                    <w:tc>
                      <w:tcPr>
                        <w:tcW w:w="9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9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1228"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903"/>
                      <w:jc w:val="center"/>
                    </w:trPr>
                    <w:tc>
                      <w:tcPr>
                        <w:tcW w:w="874" w:type="dxa"/>
                        <w:vMerge w:val="restart"/>
                        <w:tcBorders>
                          <w:top w:val="single" w:sz="4" w:space="0" w:color="000000"/>
                          <w:left w:val="single" w:sz="4" w:space="0" w:color="000000"/>
                          <w:right w:val="single" w:sz="4" w:space="0" w:color="auto"/>
                        </w:tcBorders>
                        <w:textDirection w:val="btLr"/>
                        <w:vAlign w:val="center"/>
                      </w:tcPr>
                      <w:p w:rsidR="00000000" w:rsidRDefault="00BC67ED">
                        <w:pPr>
                          <w:ind w:left="113" w:right="113"/>
                          <w:jc w:val="center"/>
                          <w:rPr>
                            <w:rFonts w:ascii="Arial" w:hAnsi="Arial" w:cs="Arial"/>
                            <w:b/>
                          </w:rPr>
                        </w:pPr>
                        <w:r>
                          <w:rPr>
                            <w:rFonts w:ascii="Arial" w:hAnsi="Arial" w:cs="Arial"/>
                            <w:b/>
                          </w:rPr>
                          <w:t>Esófago de Barret</w:t>
                        </w: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9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 xml:space="preserve">  0</w:t>
                        </w:r>
                      </w:p>
                    </w:tc>
                    <w:tc>
                      <w:tcPr>
                        <w:tcW w:w="9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4</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4</w:t>
                        </w:r>
                      </w:p>
                    </w:tc>
                  </w:tr>
                  <w:tr w:rsidR="00000000">
                    <w:trPr>
                      <w:cantSplit/>
                      <w:trHeight w:val="712"/>
                      <w:jc w:val="center"/>
                    </w:trPr>
                    <w:tc>
                      <w:tcPr>
                        <w:tcW w:w="874" w:type="dxa"/>
                        <w:vMerge/>
                        <w:tcBorders>
                          <w:left w:val="single" w:sz="4" w:space="0" w:color="000000"/>
                          <w:bottom w:val="single" w:sz="4" w:space="0" w:color="000000"/>
                          <w:right w:val="single" w:sz="4" w:space="0" w:color="auto"/>
                        </w:tcBorders>
                      </w:tcPr>
                      <w:p w:rsidR="00000000" w:rsidRDefault="00BC67ED">
                        <w:pPr>
                          <w:jc w:val="right"/>
                          <w:rPr>
                            <w:rFonts w:ascii="Arial" w:hAnsi="Arial" w:cs="Arial"/>
                            <w:sz w:val="20"/>
                            <w:szCs w:val="20"/>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9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13</w:t>
                        </w:r>
                      </w:p>
                    </w:tc>
                    <w:tc>
                      <w:tcPr>
                        <w:tcW w:w="9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103</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116</w:t>
                        </w:r>
                      </w:p>
                    </w:tc>
                  </w:tr>
                  <w:tr w:rsidR="00000000">
                    <w:trPr>
                      <w:trHeight w:val="255"/>
                      <w:jc w:val="center"/>
                    </w:trPr>
                    <w:tc>
                      <w:tcPr>
                        <w:tcW w:w="874" w:type="dxa"/>
                        <w:tcBorders>
                          <w:top w:val="single" w:sz="4" w:space="0" w:color="000000"/>
                          <w:right w:val="nil"/>
                        </w:tcBorders>
                      </w:tcPr>
                      <w:p w:rsidR="00000000" w:rsidRDefault="00BC67ED">
                        <w:pPr>
                          <w:rPr>
                            <w:rFonts w:ascii="Arial" w:hAnsi="Arial" w:cs="Arial"/>
                            <w:sz w:val="20"/>
                            <w:szCs w:val="20"/>
                          </w:rPr>
                        </w:pPr>
                      </w:p>
                    </w:tc>
                    <w:tc>
                      <w:tcPr>
                        <w:tcW w:w="752" w:type="dxa"/>
                        <w:tcBorders>
                          <w:top w:val="single" w:sz="4" w:space="0" w:color="auto"/>
                          <w:left w:val="single" w:sz="4" w:space="0" w:color="000000"/>
                          <w:bottom w:val="single" w:sz="4" w:space="0" w:color="000000"/>
                          <w:right w:val="single" w:sz="4" w:space="0" w:color="auto"/>
                        </w:tcBorders>
                        <w:noWrap/>
                        <w:vAlign w:val="bottom"/>
                      </w:tcPr>
                      <w:p w:rsidR="00000000" w:rsidRDefault="00BC67ED">
                        <w:pPr>
                          <w:jc w:val="center"/>
                          <w:rPr>
                            <w:rFonts w:ascii="Arial" w:hAnsi="Arial" w:cs="Arial"/>
                            <w:b/>
                          </w:rPr>
                        </w:pPr>
                        <w:r>
                          <w:rPr>
                            <w:rFonts w:ascii="Arial" w:hAnsi="Arial" w:cs="Arial"/>
                            <w:b/>
                          </w:rPr>
                          <w:t>Total</w:t>
                        </w:r>
                      </w:p>
                    </w:tc>
                    <w:tc>
                      <w:tcPr>
                        <w:tcW w:w="96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13</w:t>
                        </w:r>
                      </w:p>
                    </w:tc>
                    <w:tc>
                      <w:tcPr>
                        <w:tcW w:w="976"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107</w:t>
                        </w:r>
                      </w:p>
                    </w:tc>
                    <w:tc>
                      <w:tcPr>
                        <w:tcW w:w="122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rFonts w:ascii="Arial" w:hAnsi="Arial" w:cs="Arial"/>
                      <w:sz w:val="20"/>
                      <w:szCs w:val="20"/>
                    </w:rPr>
                  </w:pPr>
                </w:p>
              </w:txbxContent>
            </v:textbox>
          </v:shape>
        </w:pict>
      </w:r>
      <w:r>
        <w:rPr>
          <w:rFonts w:ascii="Arial" w:hAnsi="Arial" w:cs="Arial"/>
          <w:b/>
        </w:rPr>
        <w:t>Esófago de Barret vs. R. G. E.</w: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tbl>
      <w:tblPr>
        <w:tblW w:w="0" w:type="auto"/>
        <w:tblInd w:w="1125" w:type="dxa"/>
        <w:tblLook w:val="01E0"/>
      </w:tblPr>
      <w:tblGrid>
        <w:gridCol w:w="692"/>
        <w:gridCol w:w="6199"/>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199" w:type="dxa"/>
          </w:tcPr>
          <w:p w:rsidR="00000000" w:rsidRDefault="00BC67ED">
            <w:pPr>
              <w:pStyle w:val="Textoindependiente"/>
              <w:rPr>
                <w:rFonts w:ascii="Arial" w:hAnsi="Arial"/>
                <w:b/>
              </w:rPr>
            </w:pPr>
            <w:r>
              <w:rPr>
                <w:rFonts w:ascii="Arial" w:hAnsi="Arial"/>
              </w:rPr>
              <w:t>El Esófago de Barret y el R. G. E. son  independientes.</w:t>
            </w:r>
          </w:p>
        </w:tc>
      </w:tr>
      <w:tr w:rsidR="00000000">
        <w:tc>
          <w:tcPr>
            <w:tcW w:w="6891"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199"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i/>
        </w:rPr>
      </w:pPr>
      <w:r>
        <w:rPr>
          <w:rFonts w:ascii="Arial" w:hAnsi="Arial" w:cs="Arial"/>
          <w:position w:val="-32"/>
          <w:sz w:val="20"/>
          <w:szCs w:val="20"/>
        </w:rPr>
        <w:object w:dxaOrig="2880" w:dyaOrig="780">
          <v:shape id="_x0000_i1140" type="#_x0000_t75" style="width:155.5pt;height:46.65pt" o:ole="">
            <v:imagedata r:id="rId274" o:title=""/>
          </v:shape>
          <o:OLEObject Type="Embed" ProgID="Equation.3" ShapeID="_x0000_i1140" DrawAspect="Content" ObjectID="_1307787460" r:id="rId275"/>
        </w:object>
      </w: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41" type="#_x0000_t75" style="width:21.9pt;height:10.95pt" o:ole="">
            <v:imagedata r:id="rId268" o:title=""/>
          </v:shape>
          <o:OLEObject Type="Embed" ProgID="Equation.3" ShapeID="_x0000_i1141" DrawAspect="Content" ObjectID="_1307787461" r:id="rId276"/>
        </w:object>
      </w:r>
      <w:r>
        <w:rPr>
          <w:rFonts w:ascii="Arial" w:hAnsi="Arial" w:cs="Arial"/>
          <w:b/>
          <w:i/>
          <w:sz w:val="20"/>
          <w:szCs w:val="20"/>
        </w:rPr>
        <w:t>0.01</w:t>
      </w:r>
    </w:p>
    <w:p w:rsidR="00000000" w:rsidRDefault="00BC67ED">
      <w:pPr>
        <w:ind w:left="1044"/>
        <w:jc w:val="center"/>
        <w:rPr>
          <w:rFonts w:ascii="Arial" w:hAnsi="Arial" w:cs="Arial"/>
          <w:sz w:val="20"/>
          <w:szCs w:val="20"/>
        </w:rPr>
      </w:pPr>
      <w:r>
        <w:rPr>
          <w:rFonts w:ascii="Arial" w:hAnsi="Arial" w:cs="Arial"/>
          <w:position w:val="-14"/>
          <w:sz w:val="20"/>
          <w:szCs w:val="20"/>
        </w:rPr>
        <w:object w:dxaOrig="3060" w:dyaOrig="400">
          <v:shape id="_x0000_i1142" type="#_x0000_t75" style="width:217.75pt;height:28.8pt" o:ole="">
            <v:imagedata r:id="rId277" o:title=""/>
          </v:shape>
          <o:OLEObject Type="Embed" ProgID="Equation.3" ShapeID="_x0000_i1142" DrawAspect="Content" ObjectID="_1307787462" r:id="rId278"/>
        </w:object>
      </w:r>
    </w:p>
    <w:p w:rsidR="00000000" w:rsidRDefault="00BC67ED">
      <w:pPr>
        <w:ind w:left="1044"/>
        <w:jc w:val="both"/>
        <w:rPr>
          <w:rFonts w:ascii="Arial" w:hAnsi="Arial" w:cs="Arial"/>
        </w:rPr>
      </w:pPr>
    </w:p>
    <w:p w:rsidR="00000000" w:rsidRDefault="00BC67ED">
      <w:pPr>
        <w:spacing w:line="480" w:lineRule="auto"/>
        <w:ind w:left="1044"/>
        <w:jc w:val="both"/>
        <w:rPr>
          <w:rFonts w:ascii="Arial" w:hAnsi="Arial" w:cs="Arial"/>
          <w:sz w:val="20"/>
          <w:szCs w:val="20"/>
        </w:rPr>
      </w:pPr>
      <w:r>
        <w:rPr>
          <w:rFonts w:ascii="Arial" w:hAnsi="Arial" w:cs="Arial"/>
        </w:rPr>
        <w:t>Para este caso,</w:t>
      </w:r>
      <w:r>
        <w:rPr>
          <w:rFonts w:ascii="Arial" w:hAnsi="Arial" w:cs="Arial"/>
          <w:position w:val="-14"/>
          <w:sz w:val="20"/>
          <w:szCs w:val="20"/>
        </w:rPr>
        <w:object w:dxaOrig="1500" w:dyaOrig="400">
          <v:shape id="_x0000_i1143" type="#_x0000_t75" style="width:106.55pt;height:28.8pt" o:ole="">
            <v:imagedata r:id="rId279" o:title=""/>
          </v:shape>
          <o:OLEObject Type="Embed" ProgID="Equation.3" ShapeID="_x0000_i1143" DrawAspect="Content" ObjectID="_1307787463" r:id="rId280"/>
        </w:object>
      </w:r>
      <w:r>
        <w:rPr>
          <w:rFonts w:ascii="Arial" w:hAnsi="Arial" w:cs="Arial"/>
        </w:rPr>
        <w:t>, podemos concluir que no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es decir que las variables son Independientes.</w:t>
      </w:r>
    </w:p>
    <w:p w:rsidR="00000000" w:rsidRDefault="00BC67ED">
      <w:pPr>
        <w:pStyle w:val="Ttulo3"/>
        <w:spacing w:before="0" w:after="0" w:line="480" w:lineRule="auto"/>
        <w:ind w:left="708"/>
        <w:jc w:val="both"/>
        <w:rPr>
          <w:sz w:val="18"/>
          <w:szCs w:val="18"/>
        </w:rPr>
      </w:pPr>
    </w:p>
    <w:p w:rsidR="00000000" w:rsidRDefault="00BC67ED">
      <w:pPr>
        <w:pStyle w:val="Ttulo3"/>
        <w:spacing w:before="0" w:after="0" w:line="480" w:lineRule="auto"/>
        <w:ind w:left="708"/>
        <w:jc w:val="both"/>
      </w:pPr>
      <w:r>
        <w:t>Prueba de independenc</w:t>
      </w:r>
      <w:r>
        <w:t>ia: Acalasia  vs. Padre con Cáncer</w:t>
      </w:r>
    </w:p>
    <w:p w:rsidR="00000000" w:rsidRDefault="00BC67ED">
      <w:pPr>
        <w:pStyle w:val="Textoindependiente"/>
        <w:spacing w:line="480" w:lineRule="auto"/>
        <w:ind w:left="708"/>
        <w:rPr>
          <w:rFonts w:ascii="Arial" w:hAnsi="Arial"/>
        </w:rPr>
      </w:pPr>
      <w:r>
        <w:rPr>
          <w:rFonts w:ascii="Arial" w:hAnsi="Arial"/>
        </w:rPr>
        <w:t>Se desea saber si la Acalasia es independiente de que el Padre del paciente tenga Cáncer. La tabla a continuación muestra la contingencia para este par de variables.</w:t>
      </w:r>
    </w:p>
    <w:p w:rsidR="00000000" w:rsidRDefault="00BC67ED">
      <w:pPr>
        <w:pStyle w:val="Sangradetextonormal"/>
        <w:tabs>
          <w:tab w:val="left" w:pos="1620"/>
        </w:tabs>
        <w:ind w:left="1248"/>
        <w:jc w:val="center"/>
        <w:rPr>
          <w:rFonts w:ascii="Arial" w:hAnsi="Arial" w:cs="Arial"/>
          <w:b/>
          <w:bCs/>
        </w:rPr>
      </w:pPr>
      <w:r>
        <w:rPr>
          <w:rFonts w:ascii="Arial" w:hAnsi="Arial" w:cs="Arial"/>
          <w:b/>
          <w:bCs/>
        </w:rPr>
        <w:t>Tabla XXVII</w:t>
      </w:r>
    </w:p>
    <w:p w:rsidR="00000000" w:rsidRDefault="00BC67ED">
      <w:pPr>
        <w:pStyle w:val="Sangradetextonormal"/>
        <w:tabs>
          <w:tab w:val="left" w:pos="1620"/>
        </w:tabs>
        <w:ind w:left="1248"/>
        <w:jc w:val="center"/>
        <w:rPr>
          <w:rFonts w:ascii="Arial" w:hAnsi="Arial" w:cs="Arial"/>
          <w:b/>
          <w:bCs/>
        </w:rPr>
      </w:pPr>
      <w:r>
        <w:rPr>
          <w:rFonts w:ascii="Arial" w:hAnsi="Arial" w:cs="Arial"/>
          <w:b/>
          <w:bCs/>
        </w:rPr>
        <w:t>Tabla De Contingencia De Las Variables</w:t>
      </w:r>
    </w:p>
    <w:p w:rsidR="00000000" w:rsidRDefault="00BC67ED">
      <w:pPr>
        <w:tabs>
          <w:tab w:val="left" w:pos="1620"/>
        </w:tabs>
        <w:spacing w:line="360" w:lineRule="auto"/>
        <w:ind w:left="1248"/>
        <w:jc w:val="center"/>
        <w:rPr>
          <w:rFonts w:ascii="Arial" w:hAnsi="Arial" w:cs="Arial"/>
          <w:b/>
        </w:rPr>
      </w:pPr>
      <w:r>
        <w:rPr>
          <w:rFonts w:ascii="Arial" w:hAnsi="Arial" w:cs="Arial"/>
          <w:b/>
        </w:rPr>
        <w:t>Acal</w:t>
      </w:r>
      <w:r>
        <w:rPr>
          <w:rFonts w:ascii="Arial" w:hAnsi="Arial" w:cs="Arial"/>
          <w:b/>
        </w:rPr>
        <w:t>asia vs. Padre con Cáncer</w:t>
      </w:r>
    </w:p>
    <w:p w:rsidR="00000000" w:rsidRDefault="00BC67ED">
      <w:pPr>
        <w:spacing w:line="360" w:lineRule="auto"/>
        <w:ind w:left="1044"/>
        <w:jc w:val="center"/>
        <w:rPr>
          <w:rFonts w:ascii="Arial" w:hAnsi="Arial" w:cs="Arial"/>
          <w:sz w:val="20"/>
          <w:szCs w:val="20"/>
        </w:rPr>
      </w:pPr>
      <w:r>
        <w:rPr>
          <w:rFonts w:ascii="Arial" w:hAnsi="Arial" w:cs="Arial"/>
          <w:noProof/>
          <w:sz w:val="20"/>
          <w:szCs w:val="20"/>
        </w:rPr>
        <w:pict>
          <v:shape id="_x0000_s1038" type="#_x0000_t202" style="position:absolute;left:0;text-align:left;margin-left:1in;margin-top:6.85pt;width:5in;height:189.3pt;z-index:251655168" strokeweight="4.5pt">
            <v:stroke linestyle="thinThick"/>
            <v:textbox style="mso-next-textbox:#_x0000_s1038">
              <w:txbxContent>
                <w:p w:rsidR="00000000" w:rsidRDefault="00BC67ED">
                  <w:pPr>
                    <w:jc w:val="center"/>
                    <w:rPr>
                      <w:rFonts w:ascii="Arial" w:hAnsi="Arial" w:cs="Arial"/>
                      <w:sz w:val="20"/>
                      <w:szCs w:val="20"/>
                    </w:rPr>
                  </w:pPr>
                  <w:r>
                    <w:rPr>
                      <w:rFonts w:ascii="Arial" w:hAnsi="Arial" w:cs="Arial"/>
                      <w:b/>
                    </w:rPr>
                    <w:t>Independencia de variables:</w:t>
                  </w:r>
                  <w:r>
                    <w:rPr>
                      <w:rFonts w:ascii="Garamond" w:hAnsi="Garamond"/>
                      <w:b/>
                      <w:sz w:val="26"/>
                    </w:rPr>
                    <w:t xml:space="preserve"> </w:t>
                  </w:r>
                  <w:r>
                    <w:rPr>
                      <w:rFonts w:ascii="Arial" w:hAnsi="Arial" w:cs="Arial"/>
                      <w:b/>
                    </w:rPr>
                    <w:t>Acalasi</w:t>
                  </w:r>
                  <w:r>
                    <w:rPr>
                      <w:rFonts w:ascii="Arial" w:hAnsi="Arial" w:cs="Arial"/>
                      <w:b/>
                    </w:rPr>
                    <w:t>a vs. Padre con Cáncer</w:t>
                  </w:r>
                </w:p>
                <w:p w:rsidR="00000000" w:rsidRDefault="00BC67ED">
                  <w:pPr>
                    <w:rPr>
                      <w:lang w:val="es-ES"/>
                    </w:rPr>
                  </w:pPr>
                </w:p>
                <w:tbl>
                  <w:tblPr>
                    <w:tblW w:w="4897" w:type="dxa"/>
                    <w:jc w:val="center"/>
                    <w:tblInd w:w="65" w:type="dxa"/>
                    <w:tblCellMar>
                      <w:left w:w="70" w:type="dxa"/>
                      <w:right w:w="70" w:type="dxa"/>
                    </w:tblCellMar>
                    <w:tblLook w:val="0000"/>
                  </w:tblPr>
                  <w:tblGrid>
                    <w:gridCol w:w="725"/>
                    <w:gridCol w:w="847"/>
                    <w:gridCol w:w="1133"/>
                    <w:gridCol w:w="1080"/>
                    <w:gridCol w:w="1112"/>
                  </w:tblGrid>
                  <w:tr w:rsidR="00000000">
                    <w:trPr>
                      <w:trHeight w:val="255"/>
                      <w:jc w:val="center"/>
                    </w:trPr>
                    <w:tc>
                      <w:tcPr>
                        <w:tcW w:w="725" w:type="dxa"/>
                        <w:tcBorders>
                          <w:bottom w:val="nil"/>
                        </w:tcBorders>
                      </w:tcPr>
                      <w:p w:rsidR="00000000" w:rsidRDefault="00BC67ED">
                        <w:pPr>
                          <w:rPr>
                            <w:rFonts w:ascii="Arial" w:hAnsi="Arial" w:cs="Arial"/>
                          </w:rPr>
                        </w:pPr>
                      </w:p>
                    </w:tc>
                    <w:tc>
                      <w:tcPr>
                        <w:tcW w:w="847" w:type="dxa"/>
                        <w:tcBorders>
                          <w:bottom w:val="nil"/>
                          <w:right w:val="single" w:sz="4" w:space="0" w:color="auto"/>
                        </w:tcBorders>
                        <w:noWrap/>
                        <w:vAlign w:val="bottom"/>
                      </w:tcPr>
                      <w:p w:rsidR="00000000" w:rsidRDefault="00BC67ED">
                        <w:pPr>
                          <w:rPr>
                            <w:rFonts w:ascii="Arial" w:hAnsi="Arial" w:cs="Arial"/>
                          </w:rPr>
                        </w:pPr>
                      </w:p>
                    </w:tc>
                    <w:tc>
                      <w:tcPr>
                        <w:tcW w:w="2213"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Padre con Cáncer</w:t>
                        </w:r>
                      </w:p>
                    </w:tc>
                    <w:tc>
                      <w:tcPr>
                        <w:tcW w:w="1112" w:type="dxa"/>
                        <w:tcBorders>
                          <w:left w:val="single" w:sz="4" w:space="0" w:color="auto"/>
                          <w:bottom w:val="nil"/>
                        </w:tcBorders>
                        <w:noWrap/>
                        <w:vAlign w:val="bottom"/>
                      </w:tcPr>
                      <w:p w:rsidR="00000000" w:rsidRDefault="00BC67ED">
                        <w:pPr>
                          <w:rPr>
                            <w:rFonts w:ascii="Arial" w:hAnsi="Arial" w:cs="Arial"/>
                          </w:rPr>
                        </w:pPr>
                        <w:r>
                          <w:rPr>
                            <w:rFonts w:ascii="Arial" w:hAnsi="Arial" w:cs="Arial"/>
                          </w:rPr>
                          <w:t> </w:t>
                        </w:r>
                      </w:p>
                    </w:tc>
                  </w:tr>
                  <w:tr w:rsidR="00000000">
                    <w:trPr>
                      <w:trHeight w:val="70"/>
                      <w:jc w:val="center"/>
                    </w:trPr>
                    <w:tc>
                      <w:tcPr>
                        <w:tcW w:w="725" w:type="dxa"/>
                        <w:tcBorders>
                          <w:bottom w:val="single" w:sz="4" w:space="0" w:color="auto"/>
                        </w:tcBorders>
                      </w:tcPr>
                      <w:p w:rsidR="00000000" w:rsidRDefault="00BC67ED">
                        <w:pPr>
                          <w:rPr>
                            <w:rFonts w:ascii="Arial" w:hAnsi="Arial" w:cs="Arial"/>
                          </w:rPr>
                        </w:pPr>
                      </w:p>
                    </w:tc>
                    <w:tc>
                      <w:tcPr>
                        <w:tcW w:w="847" w:type="dxa"/>
                        <w:tcBorders>
                          <w:bottom w:val="single" w:sz="4" w:space="0" w:color="auto"/>
                          <w:right w:val="single" w:sz="4" w:space="0" w:color="auto"/>
                        </w:tcBorders>
                        <w:noWrap/>
                        <w:vAlign w:val="bottom"/>
                      </w:tcPr>
                      <w:p w:rsidR="00000000" w:rsidRDefault="00BC67ED">
                        <w:pPr>
                          <w:rPr>
                            <w:rFonts w:ascii="Arial" w:hAnsi="Arial" w:cs="Arial"/>
                          </w:rPr>
                        </w:pPr>
                      </w:p>
                    </w:tc>
                    <w:tc>
                      <w:tcPr>
                        <w:tcW w:w="1133"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0</w:t>
                        </w:r>
                      </w:p>
                    </w:tc>
                    <w:tc>
                      <w:tcPr>
                        <w:tcW w:w="108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w:t>
                        </w:r>
                      </w:p>
                    </w:tc>
                    <w:tc>
                      <w:tcPr>
                        <w:tcW w:w="1112"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740"/>
                      <w:jc w:val="center"/>
                    </w:trPr>
                    <w:tc>
                      <w:tcPr>
                        <w:tcW w:w="7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00000" w:rsidRDefault="00BC67ED">
                        <w:pPr>
                          <w:ind w:left="113" w:right="113"/>
                          <w:jc w:val="center"/>
                          <w:rPr>
                            <w:rFonts w:ascii="Arial" w:hAnsi="Arial" w:cs="Arial"/>
                            <w:b/>
                          </w:rPr>
                        </w:pPr>
                        <w:r>
                          <w:rPr>
                            <w:rFonts w:ascii="Arial" w:hAnsi="Arial" w:cs="Arial"/>
                            <w:b/>
                          </w:rPr>
                          <w:t>Acalasia</w:t>
                        </w:r>
                      </w:p>
                    </w:tc>
                    <w:tc>
                      <w:tcPr>
                        <w:tcW w:w="847"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1133"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0 </w:t>
                        </w:r>
                      </w:p>
                    </w:tc>
                    <w:tc>
                      <w:tcPr>
                        <w:tcW w:w="108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w:t>
                        </w:r>
                      </w:p>
                    </w:tc>
                    <w:tc>
                      <w:tcPr>
                        <w:tcW w:w="111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w:t>
                        </w:r>
                      </w:p>
                    </w:tc>
                  </w:tr>
                  <w:tr w:rsidR="00000000">
                    <w:trPr>
                      <w:cantSplit/>
                      <w:trHeight w:val="882"/>
                      <w:jc w:val="center"/>
                    </w:trPr>
                    <w:tc>
                      <w:tcPr>
                        <w:tcW w:w="725"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847"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1133"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30</w:t>
                        </w:r>
                      </w:p>
                    </w:tc>
                    <w:tc>
                      <w:tcPr>
                        <w:tcW w:w="108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87</w:t>
                        </w:r>
                      </w:p>
                    </w:tc>
                    <w:tc>
                      <w:tcPr>
                        <w:tcW w:w="1112" w:type="dxa"/>
                        <w:tcBorders>
                          <w:top w:val="single" w:sz="4" w:space="0" w:color="auto"/>
                          <w:left w:val="single" w:sz="4" w:space="0" w:color="auto"/>
                          <w:bottom w:val="nil"/>
                          <w:right w:val="single" w:sz="4" w:space="0" w:color="000000"/>
                        </w:tcBorders>
                        <w:noWrap/>
                        <w:vAlign w:val="center"/>
                      </w:tcPr>
                      <w:p w:rsidR="00000000" w:rsidRDefault="00BC67ED">
                        <w:pPr>
                          <w:jc w:val="right"/>
                          <w:rPr>
                            <w:rFonts w:ascii="Arial" w:hAnsi="Arial" w:cs="Arial"/>
                            <w:i/>
                          </w:rPr>
                        </w:pPr>
                        <w:r>
                          <w:rPr>
                            <w:rFonts w:ascii="Arial" w:hAnsi="Arial" w:cs="Arial"/>
                            <w:i/>
                          </w:rPr>
                          <w:t>117</w:t>
                        </w:r>
                      </w:p>
                    </w:tc>
                  </w:tr>
                  <w:tr w:rsidR="00000000">
                    <w:trPr>
                      <w:trHeight w:val="255"/>
                      <w:jc w:val="center"/>
                    </w:trPr>
                    <w:tc>
                      <w:tcPr>
                        <w:tcW w:w="725" w:type="dxa"/>
                        <w:tcBorders>
                          <w:top w:val="single" w:sz="4" w:space="0" w:color="auto"/>
                          <w:right w:val="single" w:sz="4" w:space="0" w:color="auto"/>
                        </w:tcBorders>
                      </w:tcPr>
                      <w:p w:rsidR="00000000" w:rsidRDefault="00BC67ED">
                        <w:pPr>
                          <w:rPr>
                            <w:rFonts w:ascii="Arial" w:hAnsi="Arial" w:cs="Arial"/>
                          </w:rPr>
                        </w:pPr>
                      </w:p>
                    </w:tc>
                    <w:tc>
                      <w:tcPr>
                        <w:tcW w:w="847"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Total</w:t>
                        </w:r>
                      </w:p>
                    </w:tc>
                    <w:tc>
                      <w:tcPr>
                        <w:tcW w:w="1133"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30</w:t>
                        </w:r>
                      </w:p>
                    </w:tc>
                    <w:tc>
                      <w:tcPr>
                        <w:tcW w:w="108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90</w:t>
                        </w:r>
                      </w:p>
                    </w:tc>
                    <w:tc>
                      <w:tcPr>
                        <w:tcW w:w="1112" w:type="dxa"/>
                        <w:tcBorders>
                          <w:top w:val="single" w:sz="4" w:space="0" w:color="000000"/>
                          <w:left w:val="single" w:sz="4" w:space="0" w:color="auto"/>
                          <w:bottom w:val="single" w:sz="4" w:space="0" w:color="000000"/>
                          <w:right w:val="single" w:sz="4" w:space="0" w:color="000000"/>
                        </w:tcBorders>
                        <w:noWrap/>
                        <w:vAlign w:val="bottom"/>
                      </w:tcPr>
                      <w:p w:rsidR="00000000" w:rsidRDefault="00BC67ED">
                        <w:pPr>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lang w:val="es-ES"/>
                    </w:rPr>
                  </w:pPr>
                </w:p>
              </w:txbxContent>
            </v:textbox>
          </v:shape>
        </w:pi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tbl>
      <w:tblPr>
        <w:tblW w:w="0" w:type="auto"/>
        <w:tblInd w:w="1125" w:type="dxa"/>
        <w:tblLook w:val="01E0"/>
      </w:tblPr>
      <w:tblGrid>
        <w:gridCol w:w="692"/>
        <w:gridCol w:w="6199"/>
      </w:tblGrid>
      <w:tr w:rsidR="00000000">
        <w:tc>
          <w:tcPr>
            <w:tcW w:w="692" w:type="dxa"/>
            <w:vAlign w:val="center"/>
          </w:tcPr>
          <w:p w:rsidR="00000000" w:rsidRDefault="00BC67ED">
            <w:pPr>
              <w:pStyle w:val="Textoindependiente"/>
              <w:jc w:val="center"/>
              <w:rPr>
                <w:rFonts w:ascii="Arial" w:hAnsi="Arial"/>
                <w:b/>
              </w:rPr>
            </w:pPr>
            <w:r>
              <w:rPr>
                <w:rFonts w:ascii="Arial" w:hAnsi="Arial"/>
                <w:b/>
              </w:rPr>
              <w:lastRenderedPageBreak/>
              <w:t>H</w:t>
            </w:r>
            <w:r>
              <w:rPr>
                <w:rFonts w:ascii="Arial" w:hAnsi="Arial"/>
                <w:b/>
                <w:vertAlign w:val="subscript"/>
              </w:rPr>
              <w:t>0</w:t>
            </w:r>
            <w:r>
              <w:rPr>
                <w:rFonts w:ascii="Arial" w:hAnsi="Arial"/>
                <w:b/>
              </w:rPr>
              <w:t>:</w:t>
            </w:r>
          </w:p>
        </w:tc>
        <w:tc>
          <w:tcPr>
            <w:tcW w:w="6199" w:type="dxa"/>
          </w:tcPr>
          <w:p w:rsidR="00000000" w:rsidRDefault="00BC67ED">
            <w:pPr>
              <w:pStyle w:val="Textoindependiente"/>
              <w:rPr>
                <w:rFonts w:ascii="Arial" w:hAnsi="Arial"/>
                <w:b/>
              </w:rPr>
            </w:pPr>
            <w:r>
              <w:rPr>
                <w:rFonts w:ascii="Arial" w:hAnsi="Arial"/>
              </w:rPr>
              <w:t>La Acalasia y el Padre con Cáncer son  independientes.</w:t>
            </w:r>
          </w:p>
        </w:tc>
      </w:tr>
      <w:tr w:rsidR="00000000">
        <w:tc>
          <w:tcPr>
            <w:tcW w:w="6891"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199"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autoSpaceDE w:val="0"/>
        <w:autoSpaceDN w:val="0"/>
        <w:adjustRightInd w:val="0"/>
        <w:ind w:left="1044"/>
        <w:jc w:val="center"/>
        <w:rPr>
          <w:rFonts w:ascii="Arial" w:hAnsi="Arial" w:cs="Arial"/>
          <w:sz w:val="20"/>
          <w:szCs w:val="20"/>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2860" w:dyaOrig="780">
          <v:shape id="_x0000_i1144" type="#_x0000_t75" style="width:154.95pt;height:46.65pt" o:ole="">
            <v:imagedata r:id="rId281" o:title=""/>
          </v:shape>
          <o:OLEObject Type="Embed" ProgID="Equation.3" ShapeID="_x0000_i1144" DrawAspect="Content" ObjectID="_1307787464" r:id="rId282"/>
        </w:objec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45" type="#_x0000_t75" style="width:21.9pt;height:10.95pt" o:ole="">
            <v:imagedata r:id="rId268" o:title=""/>
          </v:shape>
          <o:OLEObject Type="Embed" ProgID="Equation.3" ShapeID="_x0000_i1145" DrawAspect="Content" ObjectID="_1307787465" r:id="rId283"/>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60" w:dyaOrig="400">
          <v:shape id="_x0000_i1146" type="#_x0000_t75" style="width:217.75pt;height:28.8pt" o:ole="">
            <v:imagedata r:id="rId277" o:title=""/>
          </v:shape>
          <o:OLEObject Type="Embed" ProgID="Equation.3" ShapeID="_x0000_i1146" DrawAspect="Content" ObjectID="_1307787466" r:id="rId284"/>
        </w:object>
      </w:r>
    </w:p>
    <w:p w:rsidR="00000000" w:rsidRDefault="00BC67ED">
      <w:pPr>
        <w:spacing w:line="360" w:lineRule="auto"/>
        <w:ind w:left="1044"/>
        <w:jc w:val="both"/>
        <w:rPr>
          <w:rFonts w:ascii="Arial" w:hAnsi="Arial" w:cs="Arial"/>
          <w:sz w:val="20"/>
          <w:szCs w:val="20"/>
        </w:rPr>
      </w:pPr>
    </w:p>
    <w:p w:rsidR="00000000" w:rsidRDefault="00BC67ED">
      <w:pPr>
        <w:spacing w:line="480" w:lineRule="auto"/>
        <w:ind w:left="1044"/>
        <w:jc w:val="both"/>
        <w:rPr>
          <w:rFonts w:ascii="Arial" w:hAnsi="Arial" w:cs="Arial"/>
        </w:rPr>
      </w:pPr>
      <w:r>
        <w:rPr>
          <w:rFonts w:ascii="Arial" w:hAnsi="Arial" w:cs="Arial"/>
        </w:rPr>
        <w:t>Para este caso,</w:t>
      </w:r>
      <w:r>
        <w:rPr>
          <w:rFonts w:ascii="Arial" w:hAnsi="Arial" w:cs="Arial"/>
          <w:position w:val="-14"/>
          <w:sz w:val="20"/>
          <w:szCs w:val="20"/>
        </w:rPr>
        <w:object w:dxaOrig="1500" w:dyaOrig="400">
          <v:shape id="_x0000_i1147" type="#_x0000_t75" style="width:106.55pt;height:28.8pt" o:ole="">
            <v:imagedata r:id="rId285" o:title=""/>
          </v:shape>
          <o:OLEObject Type="Embed" ProgID="Equation.3" ShapeID="_x0000_i1147" DrawAspect="Content" ObjectID="_1307787467" r:id="rId286"/>
        </w:object>
      </w:r>
      <w:r>
        <w:rPr>
          <w:rFonts w:ascii="Arial" w:hAnsi="Arial" w:cs="Arial"/>
        </w:rPr>
        <w:t xml:space="preserve">, podemos concluir que </w:t>
      </w:r>
      <w:r>
        <w:rPr>
          <w:rFonts w:ascii="Arial" w:hAnsi="Arial" w:cs="Arial"/>
        </w:rPr>
        <w:t>no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es decir que las variables son Independientes.</w:t>
      </w:r>
    </w:p>
    <w:p w:rsidR="00000000" w:rsidRDefault="00BC67ED">
      <w:pPr>
        <w:spacing w:line="480" w:lineRule="auto"/>
        <w:ind w:left="1044"/>
        <w:jc w:val="both"/>
        <w:rPr>
          <w:rFonts w:ascii="Arial" w:hAnsi="Arial" w:cs="Arial"/>
          <w:sz w:val="20"/>
          <w:szCs w:val="20"/>
        </w:rPr>
      </w:pPr>
    </w:p>
    <w:p w:rsidR="00000000" w:rsidRDefault="00BC67ED">
      <w:pPr>
        <w:pStyle w:val="Ttulo3"/>
        <w:spacing w:before="0" w:after="0"/>
        <w:ind w:left="708"/>
        <w:jc w:val="both"/>
      </w:pPr>
    </w:p>
    <w:p w:rsidR="00000000" w:rsidRDefault="00BC67ED">
      <w:pPr>
        <w:pStyle w:val="Ttulo3"/>
        <w:spacing w:before="0" w:after="0"/>
        <w:ind w:left="708"/>
        <w:jc w:val="both"/>
      </w:pPr>
      <w:r>
        <w:t>Prueba de independencia:               Estupefacientes</w:t>
      </w:r>
    </w:p>
    <w:p w:rsidR="00000000" w:rsidRDefault="00BC67ED">
      <w:pPr>
        <w:pStyle w:val="Ttulo3"/>
        <w:spacing w:before="0" w:after="0"/>
        <w:ind w:left="708"/>
        <w:jc w:val="both"/>
        <w:rPr>
          <w:sz w:val="24"/>
          <w:szCs w:val="24"/>
        </w:rPr>
      </w:pPr>
      <w:r>
        <w:rPr>
          <w:sz w:val="24"/>
          <w:szCs w:val="24"/>
        </w:rPr>
        <w:t xml:space="preserve">                                                                            </w:t>
      </w:r>
      <w:r>
        <w:rPr>
          <w:sz w:val="24"/>
          <w:szCs w:val="24"/>
        </w:rPr>
        <w:t xml:space="preserve"> vs.</w:t>
      </w:r>
    </w:p>
    <w:p w:rsidR="00000000" w:rsidRDefault="00BC67ED">
      <w:pPr>
        <w:pStyle w:val="Ttulo3"/>
        <w:spacing w:before="0" w:after="0" w:line="480" w:lineRule="auto"/>
        <w:ind w:left="708"/>
        <w:jc w:val="both"/>
      </w:pPr>
      <w:r>
        <w:rPr>
          <w:sz w:val="24"/>
          <w:szCs w:val="24"/>
        </w:rPr>
        <w:t xml:space="preserve">                                                          </w:t>
      </w:r>
      <w:r>
        <w:t>Enfermedades venéreas</w:t>
      </w:r>
    </w:p>
    <w:p w:rsidR="00000000" w:rsidRDefault="00BC67ED">
      <w:pPr>
        <w:pStyle w:val="Textoindependiente"/>
        <w:spacing w:line="480" w:lineRule="auto"/>
        <w:ind w:left="708"/>
        <w:rPr>
          <w:rFonts w:ascii="Arial" w:hAnsi="Arial"/>
        </w:rPr>
      </w:pPr>
      <w:r>
        <w:rPr>
          <w:rFonts w:ascii="Arial" w:hAnsi="Arial"/>
        </w:rPr>
        <w:t>Se desea saber si los estupefacientes son independientes de las enfermedades venéreas. La tabla a continuación muestra la contingencia para este par de variables.</w:t>
      </w: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lastRenderedPageBreak/>
        <w:t>Tab</w:t>
      </w:r>
      <w:r>
        <w:rPr>
          <w:rFonts w:ascii="Arial" w:hAnsi="Arial" w:cs="Arial"/>
          <w:b/>
          <w:bCs/>
        </w:rPr>
        <w:t>la XXVIII</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ind w:left="708"/>
        <w:jc w:val="center"/>
        <w:rPr>
          <w:rFonts w:ascii="Arial" w:hAnsi="Arial" w:cs="Arial"/>
          <w:sz w:val="20"/>
          <w:szCs w:val="20"/>
        </w:rPr>
      </w:pPr>
      <w:r>
        <w:rPr>
          <w:rFonts w:ascii="Arial" w:hAnsi="Arial" w:cs="Arial"/>
          <w:b/>
        </w:rPr>
        <w:t xml:space="preserve">     Estupefacientes vs. Enfermedades Venéreas</w:t>
      </w:r>
    </w:p>
    <w:p w:rsidR="00000000" w:rsidRDefault="00BC67ED">
      <w:pPr>
        <w:spacing w:line="360" w:lineRule="auto"/>
        <w:ind w:left="1044"/>
        <w:jc w:val="both"/>
        <w:rPr>
          <w:rFonts w:ascii="Arial" w:hAnsi="Arial" w:cs="Arial"/>
          <w:sz w:val="20"/>
          <w:szCs w:val="20"/>
        </w:rPr>
      </w:pPr>
      <w:r>
        <w:rPr>
          <w:rFonts w:ascii="Arial" w:hAnsi="Arial" w:cs="Arial"/>
          <w:noProof/>
          <w:sz w:val="20"/>
          <w:szCs w:val="20"/>
        </w:rPr>
        <w:pict>
          <v:shape id="_x0000_s1039" type="#_x0000_t202" style="position:absolute;left:0;text-align:left;margin-left:1in;margin-top:12.15pt;width:342pt;height:240.45pt;z-index:251656192" strokeweight="4.5pt">
            <v:stroke linestyle="thinThick"/>
            <v:textbox style="mso-next-textbox:#_x0000_s1039">
              <w:txbxContent>
                <w:p w:rsidR="00000000" w:rsidRDefault="00BC67ED">
                  <w:pPr>
                    <w:jc w:val="both"/>
                    <w:rPr>
                      <w:rFonts w:ascii="Arial" w:hAnsi="Arial" w:cs="Arial"/>
                      <w:b/>
                    </w:rPr>
                  </w:pPr>
                  <w:r>
                    <w:rPr>
                      <w:rFonts w:ascii="Arial" w:hAnsi="Arial" w:cs="Arial"/>
                      <w:b/>
                    </w:rPr>
                    <w:t>Independencia de variables:</w:t>
                  </w:r>
                  <w:r>
                    <w:rPr>
                      <w:rFonts w:ascii="Garamond" w:hAnsi="Garamond"/>
                      <w:b/>
                      <w:sz w:val="26"/>
                    </w:rPr>
                    <w:t xml:space="preserve">      </w:t>
                  </w:r>
                  <w:r>
                    <w:rPr>
                      <w:rFonts w:ascii="Arial" w:hAnsi="Arial" w:cs="Arial"/>
                      <w:b/>
                    </w:rPr>
                    <w:t xml:space="preserve">Estupefacientes </w:t>
                  </w:r>
                </w:p>
                <w:p w:rsidR="00000000" w:rsidRDefault="00BC67ED">
                  <w:pPr>
                    <w:jc w:val="center"/>
                    <w:rPr>
                      <w:rFonts w:ascii="Arial" w:hAnsi="Arial" w:cs="Arial"/>
                      <w:b/>
                    </w:rPr>
                  </w:pPr>
                  <w:r>
                    <w:rPr>
                      <w:rFonts w:ascii="Arial" w:hAnsi="Arial" w:cs="Arial"/>
                      <w:b/>
                    </w:rPr>
                    <w:t xml:space="preserve">                                        vs. </w:t>
                  </w:r>
                </w:p>
                <w:p w:rsidR="00000000" w:rsidRDefault="00BC67ED">
                  <w:pPr>
                    <w:jc w:val="center"/>
                    <w:rPr>
                      <w:rFonts w:ascii="Arial" w:hAnsi="Arial" w:cs="Arial"/>
                      <w:sz w:val="20"/>
                      <w:szCs w:val="20"/>
                    </w:rPr>
                  </w:pPr>
                  <w:r>
                    <w:rPr>
                      <w:rFonts w:ascii="Arial" w:hAnsi="Arial" w:cs="Arial"/>
                      <w:b/>
                    </w:rPr>
                    <w:t xml:space="preserve">    </w:t>
                  </w:r>
                  <w:r>
                    <w:rPr>
                      <w:rFonts w:ascii="Arial" w:hAnsi="Arial" w:cs="Arial"/>
                      <w:b/>
                    </w:rPr>
                    <w:t xml:space="preserve">                                     Enfermedades Venéreas</w:t>
                  </w:r>
                </w:p>
                <w:p w:rsidR="00000000" w:rsidRDefault="00BC67ED">
                  <w:pPr>
                    <w:rPr>
                      <w:lang w:val="es-ES"/>
                    </w:rPr>
                  </w:pPr>
                </w:p>
                <w:tbl>
                  <w:tblPr>
                    <w:tblOverlap w:val="never"/>
                    <w:tblW w:w="5106" w:type="dxa"/>
                    <w:jc w:val="center"/>
                    <w:tblCellMar>
                      <w:left w:w="70" w:type="dxa"/>
                      <w:right w:w="70" w:type="dxa"/>
                    </w:tblCellMar>
                    <w:tblLook w:val="0000"/>
                  </w:tblPr>
                  <w:tblGrid>
                    <w:gridCol w:w="540"/>
                    <w:gridCol w:w="752"/>
                    <w:gridCol w:w="1810"/>
                    <w:gridCol w:w="1252"/>
                    <w:gridCol w:w="752"/>
                  </w:tblGrid>
                  <w:tr w:rsidR="00000000">
                    <w:trPr>
                      <w:trHeight w:val="255"/>
                      <w:jc w:val="center"/>
                    </w:trPr>
                    <w:tc>
                      <w:tcPr>
                        <w:tcW w:w="540" w:type="dxa"/>
                        <w:tcBorders>
                          <w:bottom w:val="nil"/>
                        </w:tcBorders>
                      </w:tcPr>
                      <w:p w:rsidR="00000000" w:rsidRDefault="00BC67ED">
                        <w:pPr>
                          <w:suppressOverlap/>
                          <w:rPr>
                            <w:rFonts w:ascii="Arial" w:hAnsi="Arial" w:cs="Arial"/>
                          </w:rPr>
                        </w:pPr>
                      </w:p>
                    </w:tc>
                    <w:tc>
                      <w:tcPr>
                        <w:tcW w:w="752" w:type="dxa"/>
                        <w:tcBorders>
                          <w:bottom w:val="nil"/>
                          <w:right w:val="single" w:sz="4" w:space="0" w:color="auto"/>
                        </w:tcBorders>
                        <w:noWrap/>
                        <w:vAlign w:val="bottom"/>
                      </w:tcPr>
                      <w:p w:rsidR="00000000" w:rsidRDefault="00BC67ED">
                        <w:pPr>
                          <w:suppressOverlap/>
                          <w:rPr>
                            <w:rFonts w:ascii="Arial" w:hAnsi="Arial" w:cs="Arial"/>
                          </w:rPr>
                        </w:pPr>
                      </w:p>
                    </w:tc>
                    <w:tc>
                      <w:tcPr>
                        <w:tcW w:w="3062" w:type="dxa"/>
                        <w:gridSpan w:val="2"/>
                        <w:tcBorders>
                          <w:top w:val="single" w:sz="4" w:space="0" w:color="000000"/>
                          <w:left w:val="single" w:sz="4" w:space="0" w:color="auto"/>
                          <w:bottom w:val="single" w:sz="4" w:space="0" w:color="auto"/>
                          <w:right w:val="single" w:sz="4" w:space="0" w:color="auto"/>
                        </w:tcBorders>
                        <w:noWrap/>
                        <w:vAlign w:val="center"/>
                      </w:tcPr>
                      <w:p w:rsidR="00000000" w:rsidRDefault="00BC67ED">
                        <w:pPr>
                          <w:suppressOverlap/>
                          <w:jc w:val="center"/>
                          <w:rPr>
                            <w:rFonts w:ascii="Arial" w:hAnsi="Arial" w:cs="Arial"/>
                            <w:b/>
                          </w:rPr>
                        </w:pPr>
                        <w:r>
                          <w:rPr>
                            <w:rFonts w:ascii="Arial" w:hAnsi="Arial" w:cs="Arial"/>
                            <w:b/>
                          </w:rPr>
                          <w:t>Enfermedades Venéreas</w:t>
                        </w:r>
                      </w:p>
                    </w:tc>
                    <w:tc>
                      <w:tcPr>
                        <w:tcW w:w="752" w:type="dxa"/>
                        <w:tcBorders>
                          <w:left w:val="single" w:sz="4" w:space="0" w:color="auto"/>
                          <w:bottom w:val="nil"/>
                        </w:tcBorders>
                        <w:noWrap/>
                        <w:vAlign w:val="bottom"/>
                      </w:tcPr>
                      <w:p w:rsidR="00000000" w:rsidRDefault="00BC67ED">
                        <w:pPr>
                          <w:suppressOverlap/>
                          <w:rPr>
                            <w:rFonts w:ascii="Arial" w:hAnsi="Arial" w:cs="Arial"/>
                          </w:rPr>
                        </w:pPr>
                        <w:r>
                          <w:rPr>
                            <w:rFonts w:ascii="Arial" w:hAnsi="Arial" w:cs="Arial"/>
                          </w:rPr>
                          <w:t> </w:t>
                        </w:r>
                      </w:p>
                    </w:tc>
                  </w:tr>
                  <w:tr w:rsidR="00000000">
                    <w:trPr>
                      <w:trHeight w:val="255"/>
                      <w:jc w:val="center"/>
                    </w:trPr>
                    <w:tc>
                      <w:tcPr>
                        <w:tcW w:w="540" w:type="dxa"/>
                        <w:tcBorders>
                          <w:bottom w:val="nil"/>
                        </w:tcBorders>
                      </w:tcPr>
                      <w:p w:rsidR="00000000" w:rsidRDefault="00BC67ED">
                        <w:pPr>
                          <w:suppressOverlap/>
                          <w:rPr>
                            <w:rFonts w:ascii="Arial" w:hAnsi="Arial" w:cs="Arial"/>
                          </w:rPr>
                        </w:pPr>
                      </w:p>
                    </w:tc>
                    <w:tc>
                      <w:tcPr>
                        <w:tcW w:w="752" w:type="dxa"/>
                        <w:tcBorders>
                          <w:bottom w:val="single" w:sz="4" w:space="0" w:color="auto"/>
                          <w:right w:val="single" w:sz="4" w:space="0" w:color="auto"/>
                        </w:tcBorders>
                        <w:noWrap/>
                        <w:vAlign w:val="bottom"/>
                      </w:tcPr>
                      <w:p w:rsidR="00000000" w:rsidRDefault="00BC67ED">
                        <w:pPr>
                          <w:suppressOverlap/>
                          <w:rPr>
                            <w:rFonts w:ascii="Arial" w:hAnsi="Arial" w:cs="Arial"/>
                          </w:rPr>
                        </w:pPr>
                      </w:p>
                    </w:tc>
                    <w:tc>
                      <w:tcPr>
                        <w:tcW w:w="1810"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0</w:t>
                        </w:r>
                      </w:p>
                    </w:tc>
                    <w:tc>
                      <w:tcPr>
                        <w:tcW w:w="1252"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1</w:t>
                        </w:r>
                      </w:p>
                    </w:tc>
                    <w:tc>
                      <w:tcPr>
                        <w:tcW w:w="752" w:type="dxa"/>
                        <w:tcBorders>
                          <w:top w:val="single" w:sz="4" w:space="0" w:color="000000"/>
                          <w:left w:val="single" w:sz="4" w:space="0" w:color="auto"/>
                          <w:bottom w:val="nil"/>
                          <w:right w:val="single" w:sz="4" w:space="0" w:color="000000"/>
                        </w:tcBorders>
                        <w:noWrap/>
                        <w:vAlign w:val="bottom"/>
                      </w:tcPr>
                      <w:p w:rsidR="00000000" w:rsidRDefault="00BC67ED">
                        <w:pPr>
                          <w:suppressOverlap/>
                          <w:jc w:val="center"/>
                          <w:rPr>
                            <w:rFonts w:ascii="Arial" w:hAnsi="Arial" w:cs="Arial"/>
                            <w:b/>
                          </w:rPr>
                        </w:pPr>
                        <w:r>
                          <w:rPr>
                            <w:rFonts w:ascii="Arial" w:hAnsi="Arial" w:cs="Arial"/>
                            <w:b/>
                          </w:rPr>
                          <w:t>Total</w:t>
                        </w:r>
                      </w:p>
                    </w:tc>
                  </w:tr>
                  <w:tr w:rsidR="00000000">
                    <w:trPr>
                      <w:cantSplit/>
                      <w:trHeight w:val="907"/>
                      <w:jc w:val="center"/>
                    </w:trPr>
                    <w:tc>
                      <w:tcPr>
                        <w:tcW w:w="540" w:type="dxa"/>
                        <w:vMerge w:val="restart"/>
                        <w:tcBorders>
                          <w:top w:val="single" w:sz="4" w:space="0" w:color="000000"/>
                          <w:left w:val="single" w:sz="4" w:space="0" w:color="000000"/>
                          <w:right w:val="single" w:sz="4" w:space="0" w:color="auto"/>
                        </w:tcBorders>
                        <w:textDirection w:val="btLr"/>
                        <w:vAlign w:val="center"/>
                      </w:tcPr>
                      <w:p w:rsidR="00000000" w:rsidRDefault="00BC67ED">
                        <w:pPr>
                          <w:ind w:left="113" w:right="113"/>
                          <w:suppressOverlap/>
                          <w:jc w:val="center"/>
                          <w:rPr>
                            <w:rFonts w:ascii="Arial" w:hAnsi="Arial" w:cs="Arial"/>
                            <w:b/>
                          </w:rPr>
                        </w:pPr>
                        <w:r>
                          <w:rPr>
                            <w:rFonts w:ascii="Arial" w:hAnsi="Arial" w:cs="Arial"/>
                            <w:b/>
                          </w:rPr>
                          <w:t>Estupefacientes</w:t>
                        </w: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0</w:t>
                        </w:r>
                      </w:p>
                    </w:tc>
                    <w:tc>
                      <w:tcPr>
                        <w:tcW w:w="1810"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5</w:t>
                        </w:r>
                      </w:p>
                    </w:tc>
                    <w:tc>
                      <w:tcPr>
                        <w:tcW w:w="12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114</w:t>
                        </w:r>
                      </w:p>
                    </w:tc>
                    <w:tc>
                      <w:tcPr>
                        <w:tcW w:w="752" w:type="dxa"/>
                        <w:tcBorders>
                          <w:top w:val="single" w:sz="4" w:space="0" w:color="000000"/>
                          <w:left w:val="single" w:sz="4" w:space="0" w:color="auto"/>
                          <w:bottom w:val="nil"/>
                          <w:right w:val="single" w:sz="4" w:space="0" w:color="000000"/>
                        </w:tcBorders>
                        <w:noWrap/>
                        <w:vAlign w:val="center"/>
                      </w:tcPr>
                      <w:p w:rsidR="00000000" w:rsidRDefault="00BC67ED">
                        <w:pPr>
                          <w:suppressOverlap/>
                          <w:jc w:val="right"/>
                          <w:rPr>
                            <w:rFonts w:ascii="Arial" w:hAnsi="Arial" w:cs="Arial"/>
                            <w:i/>
                          </w:rPr>
                        </w:pPr>
                        <w:r>
                          <w:rPr>
                            <w:rFonts w:ascii="Arial" w:hAnsi="Arial" w:cs="Arial"/>
                            <w:i/>
                          </w:rPr>
                          <w:t>119</w:t>
                        </w:r>
                      </w:p>
                    </w:tc>
                  </w:tr>
                  <w:tr w:rsidR="00000000">
                    <w:trPr>
                      <w:cantSplit/>
                      <w:trHeight w:val="1188"/>
                      <w:jc w:val="center"/>
                    </w:trPr>
                    <w:tc>
                      <w:tcPr>
                        <w:tcW w:w="540" w:type="dxa"/>
                        <w:vMerge/>
                        <w:tcBorders>
                          <w:left w:val="single" w:sz="4" w:space="0" w:color="000000"/>
                          <w:bottom w:val="single" w:sz="4" w:space="0" w:color="auto"/>
                          <w:right w:val="single" w:sz="4" w:space="0" w:color="auto"/>
                        </w:tcBorders>
                      </w:tcPr>
                      <w:p w:rsidR="00000000" w:rsidRDefault="00BC67ED">
                        <w:pPr>
                          <w:suppressOverlap/>
                          <w:jc w:val="right"/>
                          <w:rPr>
                            <w:rFonts w:ascii="Arial" w:hAnsi="Arial" w:cs="Arial"/>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2</w:t>
                        </w:r>
                      </w:p>
                    </w:tc>
                    <w:tc>
                      <w:tcPr>
                        <w:tcW w:w="1810"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1</w:t>
                        </w:r>
                      </w:p>
                    </w:tc>
                    <w:tc>
                      <w:tcPr>
                        <w:tcW w:w="1252" w:type="dxa"/>
                        <w:tcBorders>
                          <w:top w:val="single" w:sz="4" w:space="0" w:color="auto"/>
                          <w:left w:val="single" w:sz="4" w:space="0" w:color="auto"/>
                          <w:bottom w:val="single" w:sz="4" w:space="0" w:color="auto"/>
                          <w:right w:val="single" w:sz="4" w:space="0" w:color="auto"/>
                        </w:tcBorders>
                        <w:noWrap/>
                        <w:vAlign w:val="center"/>
                      </w:tcPr>
                      <w:p w:rsidR="00000000" w:rsidRDefault="00BC67ED">
                        <w:pPr>
                          <w:suppressOverlap/>
                          <w:jc w:val="right"/>
                          <w:rPr>
                            <w:rFonts w:ascii="Arial" w:hAnsi="Arial" w:cs="Arial"/>
                            <w:i/>
                          </w:rPr>
                        </w:pPr>
                        <w:r>
                          <w:rPr>
                            <w:rFonts w:ascii="Arial" w:hAnsi="Arial" w:cs="Arial"/>
                            <w:i/>
                          </w:rPr>
                          <w:t>0</w:t>
                        </w:r>
                      </w:p>
                    </w:tc>
                    <w:tc>
                      <w:tcPr>
                        <w:tcW w:w="752" w:type="dxa"/>
                        <w:tcBorders>
                          <w:top w:val="nil"/>
                          <w:left w:val="single" w:sz="4" w:space="0" w:color="auto"/>
                          <w:bottom w:val="nil"/>
                          <w:right w:val="single" w:sz="4" w:space="0" w:color="000000"/>
                        </w:tcBorders>
                        <w:noWrap/>
                        <w:vAlign w:val="center"/>
                      </w:tcPr>
                      <w:p w:rsidR="00000000" w:rsidRDefault="00BC67ED">
                        <w:pPr>
                          <w:suppressOverlap/>
                          <w:jc w:val="right"/>
                          <w:rPr>
                            <w:rFonts w:ascii="Arial" w:hAnsi="Arial" w:cs="Arial"/>
                            <w:i/>
                          </w:rPr>
                        </w:pPr>
                        <w:r>
                          <w:rPr>
                            <w:rFonts w:ascii="Arial" w:hAnsi="Arial" w:cs="Arial"/>
                            <w:i/>
                          </w:rPr>
                          <w:t>1</w:t>
                        </w:r>
                      </w:p>
                    </w:tc>
                  </w:tr>
                  <w:tr w:rsidR="00000000">
                    <w:trPr>
                      <w:trHeight w:val="255"/>
                      <w:jc w:val="center"/>
                    </w:trPr>
                    <w:tc>
                      <w:tcPr>
                        <w:tcW w:w="540" w:type="dxa"/>
                        <w:tcBorders>
                          <w:top w:val="single" w:sz="4" w:space="0" w:color="auto"/>
                          <w:right w:val="single" w:sz="4" w:space="0" w:color="auto"/>
                        </w:tcBorders>
                      </w:tcPr>
                      <w:p w:rsidR="00000000" w:rsidRDefault="00BC67ED">
                        <w:pPr>
                          <w:suppressOverlap/>
                          <w:rPr>
                            <w:rFonts w:ascii="Arial" w:hAnsi="Arial" w:cs="Arial"/>
                          </w:rPr>
                        </w:pPr>
                      </w:p>
                    </w:tc>
                    <w:tc>
                      <w:tcPr>
                        <w:tcW w:w="752" w:type="dxa"/>
                        <w:tcBorders>
                          <w:top w:val="single" w:sz="4" w:space="0" w:color="auto"/>
                          <w:left w:val="single" w:sz="4" w:space="0" w:color="auto"/>
                          <w:bottom w:val="single" w:sz="4" w:space="0" w:color="000000"/>
                          <w:right w:val="single" w:sz="4" w:space="0" w:color="auto"/>
                        </w:tcBorders>
                        <w:noWrap/>
                        <w:vAlign w:val="bottom"/>
                      </w:tcPr>
                      <w:p w:rsidR="00000000" w:rsidRDefault="00BC67ED">
                        <w:pPr>
                          <w:suppressOverlap/>
                          <w:jc w:val="center"/>
                          <w:rPr>
                            <w:rFonts w:ascii="Arial" w:hAnsi="Arial" w:cs="Arial"/>
                            <w:b/>
                          </w:rPr>
                        </w:pPr>
                        <w:r>
                          <w:rPr>
                            <w:rFonts w:ascii="Arial" w:hAnsi="Arial" w:cs="Arial"/>
                            <w:b/>
                          </w:rPr>
                          <w:t>Total</w:t>
                        </w:r>
                      </w:p>
                    </w:tc>
                    <w:tc>
                      <w:tcPr>
                        <w:tcW w:w="1810"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6</w:t>
                        </w:r>
                      </w:p>
                    </w:tc>
                    <w:tc>
                      <w:tcPr>
                        <w:tcW w:w="1252" w:type="dxa"/>
                        <w:tcBorders>
                          <w:top w:val="single" w:sz="4" w:space="0" w:color="auto"/>
                          <w:left w:val="single" w:sz="4" w:space="0" w:color="auto"/>
                          <w:bottom w:val="single" w:sz="4" w:space="0" w:color="auto"/>
                          <w:right w:val="single" w:sz="4" w:space="0" w:color="auto"/>
                        </w:tcBorders>
                        <w:noWrap/>
                        <w:vAlign w:val="bottom"/>
                      </w:tcPr>
                      <w:p w:rsidR="00000000" w:rsidRDefault="00BC67ED">
                        <w:pPr>
                          <w:suppressOverlap/>
                          <w:jc w:val="right"/>
                          <w:rPr>
                            <w:rFonts w:ascii="Arial" w:hAnsi="Arial" w:cs="Arial"/>
                            <w:i/>
                          </w:rPr>
                        </w:pPr>
                        <w:r>
                          <w:rPr>
                            <w:rFonts w:ascii="Arial" w:hAnsi="Arial" w:cs="Arial"/>
                            <w:i/>
                          </w:rPr>
                          <w:t>114</w:t>
                        </w:r>
                      </w:p>
                    </w:tc>
                    <w:tc>
                      <w:tcPr>
                        <w:tcW w:w="752" w:type="dxa"/>
                        <w:tcBorders>
                          <w:top w:val="single" w:sz="4" w:space="0" w:color="000000"/>
                          <w:left w:val="single" w:sz="4" w:space="0" w:color="auto"/>
                          <w:bottom w:val="single" w:sz="4" w:space="0" w:color="000000"/>
                          <w:right w:val="single" w:sz="4" w:space="0" w:color="000000"/>
                        </w:tcBorders>
                        <w:noWrap/>
                        <w:vAlign w:val="bottom"/>
                      </w:tcPr>
                      <w:p w:rsidR="00000000" w:rsidRDefault="00BC67ED">
                        <w:pPr>
                          <w:suppressOverlap/>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lang w:val="es-ES"/>
                    </w:rPr>
                  </w:pPr>
                </w:p>
              </w:txbxContent>
            </v:textbox>
          </v:shape>
        </w:pi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tbl>
      <w:tblPr>
        <w:tblW w:w="0" w:type="auto"/>
        <w:tblInd w:w="1125" w:type="dxa"/>
        <w:tblLook w:val="01E0"/>
      </w:tblPr>
      <w:tblGrid>
        <w:gridCol w:w="692"/>
        <w:gridCol w:w="6199"/>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199" w:type="dxa"/>
          </w:tcPr>
          <w:p w:rsidR="00000000" w:rsidRDefault="00BC67ED">
            <w:pPr>
              <w:pStyle w:val="Textoindependiente"/>
              <w:rPr>
                <w:rFonts w:ascii="Arial" w:hAnsi="Arial"/>
                <w:b/>
              </w:rPr>
            </w:pPr>
            <w:r>
              <w:rPr>
                <w:rFonts w:ascii="Arial" w:hAnsi="Arial"/>
              </w:rPr>
              <w:t>Los Estupefacientes y las Enfermedades Venéreas son  independientes.</w:t>
            </w:r>
          </w:p>
        </w:tc>
      </w:tr>
      <w:tr w:rsidR="00000000">
        <w:tc>
          <w:tcPr>
            <w:tcW w:w="6891"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199"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autoSpaceDE w:val="0"/>
        <w:autoSpaceDN w:val="0"/>
        <w:adjustRightInd w:val="0"/>
        <w:ind w:left="1044"/>
        <w:jc w:val="center"/>
        <w:rPr>
          <w:rFonts w:ascii="Arial" w:hAnsi="Arial" w:cs="Arial"/>
          <w:sz w:val="20"/>
          <w:szCs w:val="20"/>
        </w:rPr>
      </w:pPr>
    </w:p>
    <w:p w:rsidR="00000000" w:rsidRDefault="00BC67ED">
      <w:pPr>
        <w:autoSpaceDE w:val="0"/>
        <w:autoSpaceDN w:val="0"/>
        <w:adjustRightInd w:val="0"/>
        <w:ind w:left="1044"/>
        <w:jc w:val="center"/>
        <w:rPr>
          <w:rFonts w:ascii="Arial" w:hAnsi="Arial" w:cs="Arial"/>
          <w:sz w:val="20"/>
          <w:szCs w:val="20"/>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3019" w:dyaOrig="780">
          <v:shape id="_x0000_i1148" type="#_x0000_t75" style="width:163.6pt;height:46.65pt" o:ole="">
            <v:imagedata r:id="rId287" o:title=""/>
          </v:shape>
          <o:OLEObject Type="Embed" ProgID="Equation.3" ShapeID="_x0000_i1148" DrawAspect="Content" ObjectID="_1307787468" r:id="rId288"/>
        </w:objec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b/>
          <w:i/>
          <w:sz w:val="20"/>
          <w:szCs w:val="20"/>
        </w:rPr>
      </w:pPr>
      <w:r>
        <w:rPr>
          <w:rFonts w:ascii="Arial" w:hAnsi="Arial" w:cs="Arial"/>
          <w:position w:val="-6"/>
          <w:sz w:val="20"/>
          <w:szCs w:val="20"/>
        </w:rPr>
        <w:object w:dxaOrig="440" w:dyaOrig="220">
          <v:shape id="_x0000_i1149" type="#_x0000_t75" style="width:21.9pt;height:10.95pt" o:ole="">
            <v:imagedata r:id="rId268" o:title=""/>
          </v:shape>
          <o:OLEObject Type="Embed" ProgID="Equation.3" ShapeID="_x0000_i1149" DrawAspect="Content" ObjectID="_1307787469" r:id="rId289"/>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60" w:dyaOrig="400">
          <v:shape id="_x0000_i1150" type="#_x0000_t75" style="width:217.75pt;height:28.8pt" o:ole="">
            <v:imagedata r:id="rId290" o:title=""/>
          </v:shape>
          <o:OLEObject Type="Embed" ProgID="Equation.3" ShapeID="_x0000_i1150" DrawAspect="Content" ObjectID="_1307787470" r:id="rId291"/>
        </w:object>
      </w:r>
    </w:p>
    <w:p w:rsidR="00000000" w:rsidRDefault="00BC67ED">
      <w:pPr>
        <w:spacing w:line="360" w:lineRule="auto"/>
        <w:ind w:left="1044"/>
        <w:jc w:val="both"/>
        <w:rPr>
          <w:rFonts w:ascii="Arial" w:hAnsi="Arial" w:cs="Arial"/>
        </w:rPr>
      </w:pPr>
    </w:p>
    <w:p w:rsidR="00000000" w:rsidRDefault="00BC67ED">
      <w:pPr>
        <w:spacing w:line="480" w:lineRule="auto"/>
        <w:ind w:left="1044"/>
        <w:jc w:val="both"/>
        <w:rPr>
          <w:rFonts w:ascii="Arial" w:hAnsi="Arial" w:cs="Arial"/>
        </w:rPr>
      </w:pPr>
    </w:p>
    <w:p w:rsidR="00000000" w:rsidRDefault="00BC67ED">
      <w:pPr>
        <w:spacing w:line="480" w:lineRule="auto"/>
        <w:ind w:left="1044"/>
        <w:jc w:val="both"/>
        <w:rPr>
          <w:rFonts w:ascii="Arial" w:hAnsi="Arial" w:cs="Arial"/>
        </w:rPr>
      </w:pPr>
      <w:r>
        <w:rPr>
          <w:rFonts w:ascii="Arial" w:hAnsi="Arial" w:cs="Arial"/>
        </w:rPr>
        <w:lastRenderedPageBreak/>
        <w:t>Para este caso,</w:t>
      </w:r>
      <w:r>
        <w:rPr>
          <w:rFonts w:ascii="Arial" w:hAnsi="Arial" w:cs="Arial"/>
          <w:position w:val="-14"/>
          <w:sz w:val="20"/>
          <w:szCs w:val="20"/>
        </w:rPr>
        <w:object w:dxaOrig="1500" w:dyaOrig="400">
          <v:shape id="_x0000_i1151" type="#_x0000_t75" style="width:106.55pt;height:28.8pt" o:ole="">
            <v:imagedata r:id="rId292" o:title=""/>
          </v:shape>
          <o:OLEObject Type="Embed" ProgID="Equation.3" ShapeID="_x0000_i1151" DrawAspect="Content" ObjectID="_1307787471" r:id="rId293"/>
        </w:object>
      </w:r>
      <w:r>
        <w:rPr>
          <w:rFonts w:ascii="Arial" w:hAnsi="Arial" w:cs="Arial"/>
        </w:rPr>
        <w:t>, podemos concluir que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es decir que las variables son dependientes.</w:t>
      </w:r>
    </w:p>
    <w:p w:rsidR="00000000" w:rsidRDefault="00BC67ED">
      <w:pPr>
        <w:pStyle w:val="Ttulo3"/>
        <w:spacing w:before="0" w:after="0"/>
        <w:ind w:left="708"/>
        <w:jc w:val="both"/>
      </w:pPr>
    </w:p>
    <w:p w:rsidR="00000000" w:rsidRDefault="00BC67ED">
      <w:pPr>
        <w:pStyle w:val="Ttulo3"/>
        <w:spacing w:before="0" w:after="0"/>
        <w:ind w:left="708"/>
        <w:jc w:val="both"/>
      </w:pPr>
    </w:p>
    <w:p w:rsidR="00000000" w:rsidRDefault="00BC67ED">
      <w:pPr>
        <w:pStyle w:val="Ttulo3"/>
        <w:spacing w:before="0" w:after="0"/>
        <w:ind w:left="708"/>
        <w:jc w:val="both"/>
      </w:pPr>
      <w:r>
        <w:t>Prueba de independencia:              Esófago d</w:t>
      </w:r>
      <w:r>
        <w:t>e Barret</w:t>
      </w:r>
    </w:p>
    <w:p w:rsidR="00000000" w:rsidRDefault="00BC67ED">
      <w:pPr>
        <w:pStyle w:val="Ttulo3"/>
        <w:spacing w:before="0" w:after="0"/>
        <w:ind w:left="708"/>
        <w:jc w:val="both"/>
        <w:rPr>
          <w:sz w:val="24"/>
          <w:szCs w:val="24"/>
        </w:rPr>
      </w:pPr>
      <w:r>
        <w:rPr>
          <w:sz w:val="24"/>
          <w:szCs w:val="24"/>
        </w:rPr>
        <w:t xml:space="preserve">                                                                               vs.</w:t>
      </w:r>
    </w:p>
    <w:p w:rsidR="00000000" w:rsidRDefault="00BC67ED">
      <w:pPr>
        <w:pStyle w:val="Ttulo3"/>
        <w:spacing w:before="0" w:after="0" w:line="480" w:lineRule="auto"/>
        <w:ind w:left="708"/>
        <w:jc w:val="both"/>
      </w:pPr>
      <w:r>
        <w:rPr>
          <w:sz w:val="24"/>
          <w:szCs w:val="24"/>
        </w:rPr>
        <w:t xml:space="preserve">                                                               Cáncer Epidermoide</w:t>
      </w:r>
    </w:p>
    <w:p w:rsidR="00000000" w:rsidRDefault="00BC67ED">
      <w:pPr>
        <w:pStyle w:val="Textoindependiente"/>
        <w:spacing w:line="480" w:lineRule="auto"/>
        <w:ind w:left="708"/>
        <w:rPr>
          <w:rFonts w:ascii="Arial" w:hAnsi="Arial"/>
        </w:rPr>
      </w:pPr>
    </w:p>
    <w:p w:rsidR="00000000" w:rsidRDefault="00BC67ED">
      <w:pPr>
        <w:pStyle w:val="Textoindependiente"/>
        <w:spacing w:line="480" w:lineRule="auto"/>
        <w:ind w:left="708"/>
        <w:rPr>
          <w:rFonts w:ascii="Arial" w:hAnsi="Arial"/>
        </w:rPr>
      </w:pPr>
      <w:r>
        <w:rPr>
          <w:rFonts w:ascii="Arial" w:hAnsi="Arial"/>
        </w:rPr>
        <w:t>Se desea saber si el Esófago de Barret es independiente del Cáncer Epidermoide. L</w:t>
      </w:r>
      <w:r>
        <w:rPr>
          <w:rFonts w:ascii="Arial" w:hAnsi="Arial"/>
        </w:rPr>
        <w:t>a tabla a continuación muestra la contingencia para este par de variables.</w:t>
      </w:r>
    </w:p>
    <w:p w:rsidR="00000000" w:rsidRDefault="00BC67ED">
      <w:pPr>
        <w:pStyle w:val="Textoindependiente"/>
        <w:spacing w:line="480" w:lineRule="auto"/>
        <w:ind w:left="708"/>
        <w:rPr>
          <w:rFonts w:ascii="Arial" w:hAnsi="Arial"/>
        </w:rPr>
      </w:pP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XXIX</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ind w:left="708"/>
        <w:jc w:val="center"/>
        <w:rPr>
          <w:rFonts w:ascii="Arial" w:hAnsi="Arial" w:cs="Arial"/>
          <w:sz w:val="20"/>
          <w:szCs w:val="20"/>
        </w:rPr>
      </w:pPr>
      <w:r>
        <w:rPr>
          <w:rFonts w:ascii="Arial" w:hAnsi="Arial" w:cs="Arial"/>
          <w:b/>
        </w:rPr>
        <w:t xml:space="preserve">     Esófago de Barret vs. Cáncer Epidermoide</w:t>
      </w:r>
    </w:p>
    <w:p w:rsidR="00000000" w:rsidRDefault="00BC67ED">
      <w:pPr>
        <w:spacing w:line="360" w:lineRule="auto"/>
        <w:ind w:left="1044"/>
        <w:jc w:val="both"/>
        <w:rPr>
          <w:rFonts w:ascii="Arial" w:hAnsi="Arial" w:cs="Arial"/>
          <w:sz w:val="20"/>
          <w:szCs w:val="20"/>
        </w:rPr>
      </w:pPr>
      <w:r>
        <w:rPr>
          <w:rFonts w:ascii="Arial" w:hAnsi="Arial" w:cs="Arial"/>
          <w:noProof/>
          <w:sz w:val="20"/>
          <w:szCs w:val="20"/>
        </w:rPr>
        <w:pict>
          <v:shape id="_x0000_s1040" type="#_x0000_t202" style="position:absolute;left:0;text-align:left;margin-left:1in;margin-top:12.3pt;width:342pt;height:207pt;z-index:251657216" strokeweight="4.5pt">
            <v:stroke linestyle="thinThick"/>
            <v:textbox style="mso-next-textbox:#_x0000_s1040">
              <w:txbxContent>
                <w:p w:rsidR="00000000" w:rsidRDefault="00BC67ED">
                  <w:pPr>
                    <w:jc w:val="both"/>
                    <w:rPr>
                      <w:rFonts w:ascii="Arial" w:hAnsi="Arial" w:cs="Arial"/>
                      <w:b/>
                    </w:rPr>
                  </w:pPr>
                  <w:r>
                    <w:rPr>
                      <w:rFonts w:ascii="Arial" w:hAnsi="Arial" w:cs="Arial"/>
                      <w:b/>
                    </w:rPr>
                    <w:t>Independencia de variables:</w:t>
                  </w:r>
                  <w:r>
                    <w:rPr>
                      <w:rFonts w:ascii="Garamond" w:hAnsi="Garamond"/>
                      <w:b/>
                      <w:sz w:val="26"/>
                    </w:rPr>
                    <w:t xml:space="preserve">      </w:t>
                  </w:r>
                  <w:r>
                    <w:rPr>
                      <w:rFonts w:ascii="Arial" w:hAnsi="Arial" w:cs="Arial"/>
                      <w:b/>
                    </w:rPr>
                    <w:t xml:space="preserve">Esófago de Barret </w:t>
                  </w:r>
                </w:p>
                <w:p w:rsidR="00000000" w:rsidRDefault="00BC67ED">
                  <w:pPr>
                    <w:jc w:val="center"/>
                    <w:rPr>
                      <w:rFonts w:ascii="Arial" w:hAnsi="Arial" w:cs="Arial"/>
                      <w:b/>
                    </w:rPr>
                  </w:pPr>
                  <w:r>
                    <w:rPr>
                      <w:rFonts w:ascii="Arial" w:hAnsi="Arial" w:cs="Arial"/>
                      <w:b/>
                    </w:rPr>
                    <w:t xml:space="preserve">                                        vs. </w:t>
                  </w:r>
                </w:p>
                <w:p w:rsidR="00000000" w:rsidRDefault="00BC67ED">
                  <w:pPr>
                    <w:jc w:val="center"/>
                    <w:rPr>
                      <w:rFonts w:ascii="Arial" w:hAnsi="Arial" w:cs="Arial"/>
                      <w:sz w:val="20"/>
                      <w:szCs w:val="20"/>
                    </w:rPr>
                  </w:pPr>
                  <w:r>
                    <w:rPr>
                      <w:rFonts w:ascii="Arial" w:hAnsi="Arial" w:cs="Arial"/>
                      <w:b/>
                    </w:rPr>
                    <w:t xml:space="preserve">                                         Cáncer Epidermoide</w:t>
                  </w:r>
                </w:p>
                <w:p w:rsidR="00000000" w:rsidRDefault="00BC67ED">
                  <w:pPr>
                    <w:rPr>
                      <w:lang w:val="es-ES"/>
                    </w:rPr>
                  </w:pPr>
                </w:p>
                <w:tbl>
                  <w:tblPr>
                    <w:tblW w:w="6419" w:type="dxa"/>
                    <w:jc w:val="center"/>
                    <w:tblInd w:w="1620" w:type="dxa"/>
                    <w:tblCellMar>
                      <w:left w:w="70" w:type="dxa"/>
                      <w:right w:w="70" w:type="dxa"/>
                    </w:tblCellMar>
                    <w:tblLook w:val="0000"/>
                  </w:tblPr>
                  <w:tblGrid>
                    <w:gridCol w:w="673"/>
                    <w:gridCol w:w="714"/>
                    <w:gridCol w:w="2140"/>
                    <w:gridCol w:w="2140"/>
                    <w:gridCol w:w="752"/>
                  </w:tblGrid>
                  <w:tr w:rsidR="00000000">
                    <w:trPr>
                      <w:trHeight w:val="255"/>
                      <w:jc w:val="center"/>
                    </w:trPr>
                    <w:tc>
                      <w:tcPr>
                        <w:tcW w:w="673" w:type="dxa"/>
                        <w:tcBorders>
                          <w:bottom w:val="nil"/>
                        </w:tcBorders>
                      </w:tcPr>
                      <w:p w:rsidR="00000000" w:rsidRDefault="00BC67ED">
                        <w:pPr>
                          <w:rPr>
                            <w:rFonts w:ascii="Arial" w:hAnsi="Arial" w:cs="Arial"/>
                          </w:rPr>
                        </w:pPr>
                      </w:p>
                    </w:tc>
                    <w:tc>
                      <w:tcPr>
                        <w:tcW w:w="714" w:type="dxa"/>
                        <w:tcBorders>
                          <w:bottom w:val="nil"/>
                          <w:right w:val="single" w:sz="4" w:space="0" w:color="auto"/>
                        </w:tcBorders>
                        <w:noWrap/>
                        <w:vAlign w:val="bottom"/>
                      </w:tcPr>
                      <w:p w:rsidR="00000000" w:rsidRDefault="00BC67ED">
                        <w:pPr>
                          <w:rPr>
                            <w:rFonts w:ascii="Arial" w:hAnsi="Arial" w:cs="Arial"/>
                          </w:rPr>
                        </w:pPr>
                      </w:p>
                    </w:tc>
                    <w:tc>
                      <w:tcPr>
                        <w:tcW w:w="4280" w:type="dxa"/>
                        <w:gridSpan w:val="2"/>
                        <w:tcBorders>
                          <w:top w:val="single" w:sz="4" w:space="0" w:color="000000"/>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Cáncer Epidermoide</w:t>
                        </w:r>
                      </w:p>
                    </w:tc>
                    <w:tc>
                      <w:tcPr>
                        <w:tcW w:w="752" w:type="dxa"/>
                        <w:tcBorders>
                          <w:left w:val="single" w:sz="4" w:space="0" w:color="auto"/>
                          <w:bottom w:val="nil"/>
                        </w:tcBorders>
                        <w:noWrap/>
                        <w:vAlign w:val="bottom"/>
                      </w:tcPr>
                      <w:p w:rsidR="00000000" w:rsidRDefault="00BC67ED">
                        <w:pPr>
                          <w:rPr>
                            <w:rFonts w:ascii="Arial" w:hAnsi="Arial" w:cs="Arial"/>
                          </w:rPr>
                        </w:pPr>
                        <w:r>
                          <w:rPr>
                            <w:rFonts w:ascii="Arial" w:hAnsi="Arial" w:cs="Arial"/>
                          </w:rPr>
                          <w:t> </w:t>
                        </w:r>
                      </w:p>
                    </w:tc>
                  </w:tr>
                  <w:tr w:rsidR="00000000">
                    <w:trPr>
                      <w:trHeight w:val="255"/>
                      <w:jc w:val="center"/>
                    </w:trPr>
                    <w:tc>
                      <w:tcPr>
                        <w:tcW w:w="673" w:type="dxa"/>
                        <w:tcBorders>
                          <w:bottom w:val="nil"/>
                        </w:tcBorders>
                      </w:tcPr>
                      <w:p w:rsidR="00000000" w:rsidRDefault="00BC67ED">
                        <w:pPr>
                          <w:rPr>
                            <w:rFonts w:ascii="Arial" w:hAnsi="Arial" w:cs="Arial"/>
                          </w:rPr>
                        </w:pPr>
                      </w:p>
                    </w:tc>
                    <w:tc>
                      <w:tcPr>
                        <w:tcW w:w="714" w:type="dxa"/>
                        <w:tcBorders>
                          <w:bottom w:val="single" w:sz="4" w:space="0" w:color="auto"/>
                          <w:right w:val="single" w:sz="4" w:space="0" w:color="auto"/>
                        </w:tcBorders>
                        <w:noWrap/>
                        <w:vAlign w:val="bottom"/>
                      </w:tcPr>
                      <w:p w:rsidR="00000000" w:rsidRDefault="00BC67ED">
                        <w:pPr>
                          <w:rPr>
                            <w:rFonts w:ascii="Arial" w:hAnsi="Arial" w:cs="Arial"/>
                          </w:rPr>
                        </w:pPr>
                      </w:p>
                    </w:tc>
                    <w:tc>
                      <w:tcPr>
                        <w:tcW w:w="214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0</w:t>
                        </w:r>
                      </w:p>
                    </w:tc>
                    <w:tc>
                      <w:tcPr>
                        <w:tcW w:w="214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w:t>
                        </w:r>
                      </w:p>
                    </w:tc>
                    <w:tc>
                      <w:tcPr>
                        <w:tcW w:w="752" w:type="dxa"/>
                        <w:tcBorders>
                          <w:top w:val="single" w:sz="4" w:space="0" w:color="000000"/>
                          <w:left w:val="single" w:sz="4" w:space="0" w:color="auto"/>
                          <w:bottom w:val="nil"/>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646"/>
                      <w:jc w:val="center"/>
                    </w:trPr>
                    <w:tc>
                      <w:tcPr>
                        <w:tcW w:w="673" w:type="dxa"/>
                        <w:vMerge w:val="restart"/>
                        <w:tcBorders>
                          <w:top w:val="single" w:sz="4" w:space="0" w:color="000000"/>
                          <w:left w:val="single" w:sz="4" w:space="0" w:color="000000"/>
                          <w:right w:val="single" w:sz="4" w:space="0" w:color="auto"/>
                        </w:tcBorders>
                        <w:textDirection w:val="btLr"/>
                      </w:tcPr>
                      <w:p w:rsidR="00000000" w:rsidRDefault="00BC67ED">
                        <w:pPr>
                          <w:ind w:left="113" w:right="113"/>
                          <w:jc w:val="right"/>
                          <w:rPr>
                            <w:rFonts w:ascii="Arial" w:hAnsi="Arial" w:cs="Arial"/>
                            <w:b/>
                          </w:rPr>
                        </w:pPr>
                        <w:r>
                          <w:rPr>
                            <w:rFonts w:ascii="Arial" w:hAnsi="Arial" w:cs="Arial"/>
                            <w:b/>
                          </w:rPr>
                          <w:t>Esófago de Barret</w:t>
                        </w:r>
                      </w:p>
                    </w:tc>
                    <w:tc>
                      <w:tcPr>
                        <w:tcW w:w="71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214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214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w:t>
                        </w:r>
                      </w:p>
                    </w:tc>
                    <w:tc>
                      <w:tcPr>
                        <w:tcW w:w="752" w:type="dxa"/>
                        <w:tcBorders>
                          <w:top w:val="single" w:sz="4" w:space="0" w:color="000000"/>
                          <w:left w:val="single" w:sz="4" w:space="0" w:color="auto"/>
                          <w:bottom w:val="nil"/>
                          <w:right w:val="single" w:sz="4" w:space="0" w:color="000000"/>
                        </w:tcBorders>
                        <w:noWrap/>
                        <w:vAlign w:val="center"/>
                      </w:tcPr>
                      <w:p w:rsidR="00000000" w:rsidRDefault="00BC67ED">
                        <w:pPr>
                          <w:jc w:val="right"/>
                          <w:rPr>
                            <w:rFonts w:ascii="Arial" w:hAnsi="Arial" w:cs="Arial"/>
                            <w:i/>
                          </w:rPr>
                        </w:pPr>
                        <w:r>
                          <w:rPr>
                            <w:rFonts w:ascii="Arial" w:hAnsi="Arial" w:cs="Arial"/>
                            <w:i/>
                          </w:rPr>
                          <w:t>4</w:t>
                        </w:r>
                      </w:p>
                    </w:tc>
                  </w:tr>
                  <w:tr w:rsidR="00000000">
                    <w:trPr>
                      <w:cantSplit/>
                      <w:trHeight w:val="750"/>
                      <w:jc w:val="center"/>
                    </w:trPr>
                    <w:tc>
                      <w:tcPr>
                        <w:tcW w:w="673" w:type="dxa"/>
                        <w:vMerge/>
                        <w:tcBorders>
                          <w:left w:val="single" w:sz="4" w:space="0" w:color="000000"/>
                          <w:bottom w:val="single" w:sz="4" w:space="0" w:color="000000"/>
                          <w:right w:val="nil"/>
                        </w:tcBorders>
                      </w:tcPr>
                      <w:p w:rsidR="00000000" w:rsidRDefault="00BC67ED">
                        <w:pPr>
                          <w:jc w:val="right"/>
                          <w:rPr>
                            <w:rFonts w:ascii="Arial" w:hAnsi="Arial" w:cs="Arial"/>
                          </w:rPr>
                        </w:pPr>
                      </w:p>
                    </w:tc>
                    <w:tc>
                      <w:tcPr>
                        <w:tcW w:w="714" w:type="dxa"/>
                        <w:tcBorders>
                          <w:top w:val="single" w:sz="4" w:space="0" w:color="auto"/>
                          <w:left w:val="single" w:sz="4" w:space="0" w:color="000000"/>
                          <w:bottom w:val="nil"/>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214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214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115</w:t>
                        </w:r>
                      </w:p>
                    </w:tc>
                    <w:tc>
                      <w:tcPr>
                        <w:tcW w:w="752" w:type="dxa"/>
                        <w:tcBorders>
                          <w:top w:val="nil"/>
                          <w:left w:val="single" w:sz="4" w:space="0" w:color="auto"/>
                          <w:bottom w:val="nil"/>
                          <w:right w:val="single" w:sz="4" w:space="0" w:color="000000"/>
                        </w:tcBorders>
                        <w:noWrap/>
                        <w:vAlign w:val="center"/>
                      </w:tcPr>
                      <w:p w:rsidR="00000000" w:rsidRDefault="00BC67ED">
                        <w:pPr>
                          <w:jc w:val="right"/>
                          <w:rPr>
                            <w:rFonts w:ascii="Arial" w:hAnsi="Arial" w:cs="Arial"/>
                            <w:i/>
                          </w:rPr>
                        </w:pPr>
                        <w:r>
                          <w:rPr>
                            <w:rFonts w:ascii="Arial" w:hAnsi="Arial" w:cs="Arial"/>
                            <w:i/>
                          </w:rPr>
                          <w:t>116</w:t>
                        </w:r>
                      </w:p>
                    </w:tc>
                  </w:tr>
                  <w:tr w:rsidR="00000000">
                    <w:trPr>
                      <w:trHeight w:val="255"/>
                      <w:jc w:val="center"/>
                    </w:trPr>
                    <w:tc>
                      <w:tcPr>
                        <w:tcW w:w="673" w:type="dxa"/>
                        <w:tcBorders>
                          <w:top w:val="single" w:sz="4" w:space="0" w:color="000000"/>
                          <w:right w:val="nil"/>
                        </w:tcBorders>
                      </w:tcPr>
                      <w:p w:rsidR="00000000" w:rsidRDefault="00BC67ED">
                        <w:pPr>
                          <w:rPr>
                            <w:rFonts w:ascii="Arial" w:hAnsi="Arial" w:cs="Arial"/>
                          </w:rPr>
                        </w:pPr>
                      </w:p>
                    </w:tc>
                    <w:tc>
                      <w:tcPr>
                        <w:tcW w:w="714" w:type="dxa"/>
                        <w:tcBorders>
                          <w:top w:val="single" w:sz="4" w:space="0" w:color="000000"/>
                          <w:left w:val="single" w:sz="4" w:space="0" w:color="000000"/>
                          <w:bottom w:val="single" w:sz="4" w:space="0" w:color="000000"/>
                          <w:right w:val="single" w:sz="4" w:space="0" w:color="auto"/>
                        </w:tcBorders>
                        <w:noWrap/>
                        <w:vAlign w:val="bottom"/>
                      </w:tcPr>
                      <w:p w:rsidR="00000000" w:rsidRDefault="00BC67ED">
                        <w:pPr>
                          <w:jc w:val="center"/>
                          <w:rPr>
                            <w:rFonts w:ascii="Arial" w:hAnsi="Arial" w:cs="Arial"/>
                            <w:b/>
                          </w:rPr>
                        </w:pPr>
                        <w:r>
                          <w:rPr>
                            <w:rFonts w:ascii="Arial" w:hAnsi="Arial" w:cs="Arial"/>
                            <w:b/>
                          </w:rPr>
                          <w:t>Total</w:t>
                        </w:r>
                      </w:p>
                    </w:tc>
                    <w:tc>
                      <w:tcPr>
                        <w:tcW w:w="214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2</w:t>
                        </w:r>
                      </w:p>
                    </w:tc>
                    <w:tc>
                      <w:tcPr>
                        <w:tcW w:w="214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118</w:t>
                        </w:r>
                      </w:p>
                    </w:tc>
                    <w:tc>
                      <w:tcPr>
                        <w:tcW w:w="752" w:type="dxa"/>
                        <w:tcBorders>
                          <w:top w:val="single" w:sz="4" w:space="0" w:color="000000"/>
                          <w:left w:val="single" w:sz="4" w:space="0" w:color="auto"/>
                          <w:bottom w:val="single" w:sz="4" w:space="0" w:color="000000"/>
                          <w:right w:val="single" w:sz="4" w:space="0" w:color="000000"/>
                        </w:tcBorders>
                        <w:noWrap/>
                        <w:vAlign w:val="bottom"/>
                      </w:tcPr>
                      <w:p w:rsidR="00000000" w:rsidRDefault="00BC67ED">
                        <w:pPr>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lang w:val="es-ES"/>
                    </w:rPr>
                  </w:pPr>
                </w:p>
              </w:txbxContent>
            </v:textbox>
          </v:shape>
        </w:pi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both"/>
        <w:rPr>
          <w:rFonts w:ascii="Arial" w:hAnsi="Arial" w:cs="Arial"/>
          <w:sz w:val="20"/>
          <w:szCs w:val="20"/>
        </w:rPr>
      </w:pPr>
    </w:p>
    <w:tbl>
      <w:tblPr>
        <w:tblW w:w="0" w:type="auto"/>
        <w:tblInd w:w="1125" w:type="dxa"/>
        <w:tblLook w:val="01E0"/>
      </w:tblPr>
      <w:tblGrid>
        <w:gridCol w:w="692"/>
        <w:gridCol w:w="6199"/>
      </w:tblGrid>
      <w:tr w:rsidR="00000000">
        <w:tc>
          <w:tcPr>
            <w:tcW w:w="692" w:type="dxa"/>
            <w:vAlign w:val="center"/>
          </w:tcPr>
          <w:p w:rsidR="00000000" w:rsidRDefault="00BC67ED">
            <w:pPr>
              <w:pStyle w:val="Textoindependiente"/>
              <w:jc w:val="center"/>
              <w:rPr>
                <w:rFonts w:ascii="Arial" w:hAnsi="Arial"/>
                <w:b/>
              </w:rPr>
            </w:pPr>
            <w:r>
              <w:rPr>
                <w:rFonts w:ascii="Arial" w:hAnsi="Arial"/>
                <w:b/>
              </w:rPr>
              <w:lastRenderedPageBreak/>
              <w:t>H</w:t>
            </w:r>
            <w:r>
              <w:rPr>
                <w:rFonts w:ascii="Arial" w:hAnsi="Arial"/>
                <w:b/>
                <w:vertAlign w:val="subscript"/>
              </w:rPr>
              <w:t>0</w:t>
            </w:r>
            <w:r>
              <w:rPr>
                <w:rFonts w:ascii="Arial" w:hAnsi="Arial"/>
                <w:b/>
              </w:rPr>
              <w:t>:</w:t>
            </w:r>
          </w:p>
        </w:tc>
        <w:tc>
          <w:tcPr>
            <w:tcW w:w="6199" w:type="dxa"/>
          </w:tcPr>
          <w:p w:rsidR="00000000" w:rsidRDefault="00BC67ED">
            <w:pPr>
              <w:pStyle w:val="Textoindependiente"/>
              <w:rPr>
                <w:rFonts w:ascii="Arial" w:hAnsi="Arial"/>
                <w:b/>
              </w:rPr>
            </w:pPr>
            <w:r>
              <w:rPr>
                <w:rFonts w:ascii="Arial" w:hAnsi="Arial"/>
              </w:rPr>
              <w:t>El Esófago de Barret y el Cáncer Epidermoide son  independientes.</w:t>
            </w:r>
          </w:p>
        </w:tc>
      </w:tr>
      <w:tr w:rsidR="00000000">
        <w:tc>
          <w:tcPr>
            <w:tcW w:w="6891"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199"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autoSpaceDE w:val="0"/>
        <w:autoSpaceDN w:val="0"/>
        <w:adjustRightInd w:val="0"/>
        <w:ind w:left="1044"/>
        <w:jc w:val="center"/>
        <w:rPr>
          <w:rFonts w:ascii="Arial" w:hAnsi="Arial" w:cs="Arial"/>
          <w:sz w:val="20"/>
          <w:szCs w:val="20"/>
        </w:rPr>
      </w:pPr>
    </w:p>
    <w:p w:rsidR="00000000" w:rsidRDefault="00BC67ED">
      <w:pPr>
        <w:autoSpaceDE w:val="0"/>
        <w:autoSpaceDN w:val="0"/>
        <w:adjustRightInd w:val="0"/>
        <w:ind w:left="1044"/>
        <w:jc w:val="center"/>
        <w:rPr>
          <w:rFonts w:ascii="Arial" w:hAnsi="Arial" w:cs="Arial"/>
          <w:sz w:val="20"/>
          <w:szCs w:val="20"/>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3019" w:dyaOrig="780">
          <v:shape id="_x0000_i1152" type="#_x0000_t75" style="width:163.6pt;height:46.65pt" o:ole="">
            <v:imagedata r:id="rId294" o:title=""/>
          </v:shape>
          <o:OLEObject Type="Embed" ProgID="Equation.3" ShapeID="_x0000_i1152" DrawAspect="Content" ObjectID="_1307787472" r:id="rId295"/>
        </w:objec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53" type="#_x0000_t75" style="width:21.9pt;height:10.95pt" o:ole="">
            <v:imagedata r:id="rId268" o:title=""/>
          </v:shape>
          <o:OLEObject Type="Embed" ProgID="Equation.3" ShapeID="_x0000_i1153" DrawAspect="Content" ObjectID="_1307787473" r:id="rId296"/>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40" w:dyaOrig="400">
          <v:shape id="_x0000_i1154" type="#_x0000_t75" style="width:3in;height:28.8pt" o:ole="">
            <v:imagedata r:id="rId297" o:title=""/>
          </v:shape>
          <o:OLEObject Type="Embed" ProgID="Equation.3" ShapeID="_x0000_i1154" DrawAspect="Content" ObjectID="_1307787474" r:id="rId298"/>
        </w:object>
      </w:r>
    </w:p>
    <w:p w:rsidR="00000000" w:rsidRDefault="00BC67ED">
      <w:pPr>
        <w:spacing w:line="360" w:lineRule="auto"/>
        <w:ind w:left="1044"/>
        <w:jc w:val="both"/>
        <w:rPr>
          <w:rFonts w:ascii="Arial" w:hAnsi="Arial" w:cs="Arial"/>
          <w:sz w:val="20"/>
          <w:szCs w:val="20"/>
        </w:rPr>
      </w:pPr>
    </w:p>
    <w:p w:rsidR="00000000" w:rsidRDefault="00BC67ED">
      <w:pPr>
        <w:spacing w:line="480" w:lineRule="auto"/>
        <w:ind w:left="1044"/>
        <w:jc w:val="both"/>
        <w:rPr>
          <w:rFonts w:ascii="Arial" w:hAnsi="Arial" w:cs="Arial"/>
        </w:rPr>
      </w:pPr>
    </w:p>
    <w:p w:rsidR="00000000" w:rsidRDefault="00BC67ED">
      <w:pPr>
        <w:spacing w:line="480" w:lineRule="auto"/>
        <w:ind w:left="1044"/>
        <w:jc w:val="both"/>
        <w:rPr>
          <w:rFonts w:ascii="Arial" w:hAnsi="Arial" w:cs="Arial"/>
        </w:rPr>
      </w:pPr>
      <w:r>
        <w:rPr>
          <w:rFonts w:ascii="Arial" w:hAnsi="Arial" w:cs="Arial"/>
        </w:rPr>
        <w:t>Para este caso,</w:t>
      </w:r>
      <w:r>
        <w:rPr>
          <w:rFonts w:ascii="Arial" w:hAnsi="Arial" w:cs="Arial"/>
          <w:position w:val="-14"/>
          <w:sz w:val="20"/>
          <w:szCs w:val="20"/>
        </w:rPr>
        <w:object w:dxaOrig="1500" w:dyaOrig="400">
          <v:shape id="_x0000_i1155" type="#_x0000_t75" style="width:106.55pt;height:28.8pt" o:ole="">
            <v:imagedata r:id="rId292" o:title=""/>
          </v:shape>
          <o:OLEObject Type="Embed" ProgID="Equation.3" ShapeID="_x0000_i1155" DrawAspect="Content" ObjectID="_1307787475" r:id="rId299"/>
        </w:object>
      </w:r>
      <w:r>
        <w:rPr>
          <w:rFonts w:ascii="Arial" w:hAnsi="Arial" w:cs="Arial"/>
        </w:rPr>
        <w:t>, podemos concluir que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es decir que las varia</w:t>
      </w:r>
      <w:r>
        <w:rPr>
          <w:rFonts w:ascii="Arial" w:hAnsi="Arial" w:cs="Arial"/>
        </w:rPr>
        <w:t>bles son dependientes.</w:t>
      </w:r>
    </w:p>
    <w:p w:rsidR="00000000" w:rsidRDefault="00BC67ED">
      <w:pPr>
        <w:spacing w:line="480" w:lineRule="auto"/>
        <w:ind w:left="1044"/>
        <w:jc w:val="both"/>
        <w:rPr>
          <w:rFonts w:ascii="Arial" w:hAnsi="Arial" w:cs="Arial"/>
        </w:rPr>
      </w:pPr>
    </w:p>
    <w:p w:rsidR="00000000" w:rsidRDefault="00BC67ED">
      <w:pPr>
        <w:pStyle w:val="Ttulo3"/>
        <w:spacing w:before="0" w:after="0" w:line="480" w:lineRule="auto"/>
        <w:ind w:left="708"/>
        <w:jc w:val="both"/>
      </w:pPr>
      <w:r>
        <w:t>Prueba de independencia: Obesidad</w:t>
      </w:r>
      <w:r>
        <w:rPr>
          <w:sz w:val="24"/>
          <w:szCs w:val="24"/>
        </w:rPr>
        <w:t xml:space="preserve"> vs. Esófago de Barret</w:t>
      </w:r>
      <w:r>
        <w:t xml:space="preserve"> </w:t>
      </w:r>
    </w:p>
    <w:p w:rsidR="00000000" w:rsidRDefault="00BC67ED">
      <w:pPr>
        <w:pStyle w:val="Textoindependiente"/>
        <w:spacing w:line="480" w:lineRule="auto"/>
        <w:ind w:left="708"/>
        <w:rPr>
          <w:rFonts w:ascii="Arial" w:hAnsi="Arial"/>
        </w:rPr>
      </w:pPr>
      <w:r>
        <w:rPr>
          <w:rFonts w:ascii="Arial" w:hAnsi="Arial"/>
        </w:rPr>
        <w:t>Se desea saber si la Obesidad es independiente del Esófago de Barret. La tabla a continuación muestra la contingencia para este par de variables.</w:t>
      </w: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lastRenderedPageBreak/>
        <w:t>Tabla XXX</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w:t>
      </w:r>
      <w:r>
        <w:rPr>
          <w:rFonts w:ascii="Arial" w:hAnsi="Arial" w:cs="Arial"/>
          <w:b/>
          <w:bCs/>
        </w:rPr>
        <w:t>ngencia De Las Variables</w:t>
      </w:r>
    </w:p>
    <w:p w:rsidR="00000000" w:rsidRDefault="00BC67ED">
      <w:pPr>
        <w:spacing w:line="360" w:lineRule="auto"/>
        <w:ind w:left="336" w:firstLine="708"/>
        <w:jc w:val="center"/>
        <w:rPr>
          <w:rFonts w:ascii="Arial" w:hAnsi="Arial" w:cs="Arial"/>
          <w:b/>
        </w:rPr>
      </w:pPr>
      <w:r>
        <w:rPr>
          <w:rFonts w:ascii="Arial" w:hAnsi="Arial" w:cs="Arial"/>
          <w:b/>
        </w:rPr>
        <w:t>Obesidad vs. Esófago de Barret</w:t>
      </w:r>
    </w:p>
    <w:p w:rsidR="00000000" w:rsidRDefault="00BC67ED">
      <w:pPr>
        <w:spacing w:line="360" w:lineRule="auto"/>
        <w:ind w:left="336" w:firstLine="708"/>
        <w:jc w:val="center"/>
        <w:rPr>
          <w:rFonts w:ascii="Arial" w:hAnsi="Arial" w:cs="Arial"/>
          <w:b/>
        </w:rPr>
      </w:pPr>
      <w:r>
        <w:rPr>
          <w:rFonts w:ascii="Arial" w:hAnsi="Arial" w:cs="Arial"/>
          <w:b/>
          <w:noProof/>
        </w:rPr>
        <w:pict>
          <v:shape id="_x0000_s1041" type="#_x0000_t202" style="position:absolute;left:0;text-align:left;margin-left:63pt;margin-top:8.2pt;width:351pt;height:210.5pt;z-index:251658240" strokeweight="4.5pt">
            <v:stroke linestyle="thinThick"/>
            <v:textbox style="mso-next-textbox:#_x0000_s1041">
              <w:txbxContent>
                <w:p w:rsidR="00000000" w:rsidRDefault="00BC67ED">
                  <w:pPr>
                    <w:jc w:val="center"/>
                    <w:rPr>
                      <w:rFonts w:ascii="Arial" w:hAnsi="Arial" w:cs="Arial"/>
                      <w:b/>
                    </w:rPr>
                  </w:pPr>
                  <w:r>
                    <w:rPr>
                      <w:rFonts w:ascii="Arial" w:hAnsi="Arial" w:cs="Arial"/>
                      <w:b/>
                    </w:rPr>
                    <w:t>I</w:t>
                  </w:r>
                  <w:r>
                    <w:rPr>
                      <w:rFonts w:ascii="Arial" w:hAnsi="Arial" w:cs="Arial"/>
                      <w:b/>
                    </w:rPr>
                    <w:t xml:space="preserve">ndependencia de variables: </w:t>
                  </w:r>
                  <w:r>
                    <w:rPr>
                      <w:rFonts w:ascii="Garamond" w:hAnsi="Garamond"/>
                      <w:b/>
                      <w:sz w:val="26"/>
                    </w:rPr>
                    <w:t xml:space="preserve">        </w:t>
                  </w:r>
                  <w:r>
                    <w:rPr>
                      <w:rFonts w:ascii="Arial" w:hAnsi="Arial" w:cs="Arial"/>
                      <w:b/>
                    </w:rPr>
                    <w:t>Obesidad</w:t>
                  </w:r>
                </w:p>
                <w:p w:rsidR="00000000" w:rsidRDefault="00BC67ED">
                  <w:pPr>
                    <w:jc w:val="center"/>
                    <w:rPr>
                      <w:rFonts w:ascii="Arial" w:hAnsi="Arial" w:cs="Arial"/>
                      <w:b/>
                    </w:rPr>
                  </w:pPr>
                  <w:r>
                    <w:rPr>
                      <w:rFonts w:ascii="Arial" w:hAnsi="Arial" w:cs="Arial"/>
                      <w:b/>
                    </w:rPr>
                    <w:t xml:space="preserve">                                                           vs.</w:t>
                  </w:r>
                </w:p>
                <w:p w:rsidR="00000000" w:rsidRDefault="00BC67ED">
                  <w:pPr>
                    <w:jc w:val="center"/>
                    <w:rPr>
                      <w:rFonts w:ascii="Arial" w:hAnsi="Arial" w:cs="Arial"/>
                      <w:sz w:val="20"/>
                      <w:szCs w:val="20"/>
                    </w:rPr>
                  </w:pPr>
                  <w:r>
                    <w:rPr>
                      <w:rFonts w:ascii="Arial" w:hAnsi="Arial" w:cs="Arial"/>
                      <w:b/>
                    </w:rPr>
                    <w:t xml:space="preserve">                                                              Esófago de Barret</w:t>
                  </w:r>
                </w:p>
                <w:p w:rsidR="00000000" w:rsidRDefault="00BC67ED">
                  <w:pPr>
                    <w:rPr>
                      <w:lang w:val="es-ES"/>
                    </w:rPr>
                  </w:pPr>
                </w:p>
                <w:tbl>
                  <w:tblPr>
                    <w:tblW w:w="6366" w:type="dxa"/>
                    <w:jc w:val="center"/>
                    <w:tblInd w:w="1440" w:type="dxa"/>
                    <w:tblCellMar>
                      <w:left w:w="70" w:type="dxa"/>
                      <w:right w:w="70" w:type="dxa"/>
                    </w:tblCellMar>
                    <w:tblLook w:val="0000"/>
                  </w:tblPr>
                  <w:tblGrid>
                    <w:gridCol w:w="545"/>
                    <w:gridCol w:w="729"/>
                    <w:gridCol w:w="1928"/>
                    <w:gridCol w:w="1936"/>
                    <w:gridCol w:w="1228"/>
                  </w:tblGrid>
                  <w:tr w:rsidR="00000000">
                    <w:trPr>
                      <w:trHeight w:val="255"/>
                      <w:jc w:val="center"/>
                    </w:trPr>
                    <w:tc>
                      <w:tcPr>
                        <w:tcW w:w="545" w:type="dxa"/>
                        <w:tcBorders>
                          <w:bottom w:val="nil"/>
                        </w:tcBorders>
                      </w:tcPr>
                      <w:p w:rsidR="00000000" w:rsidRDefault="00BC67ED">
                        <w:pPr>
                          <w:rPr>
                            <w:rFonts w:ascii="Arial" w:hAnsi="Arial" w:cs="Arial"/>
                          </w:rPr>
                        </w:pPr>
                      </w:p>
                    </w:tc>
                    <w:tc>
                      <w:tcPr>
                        <w:tcW w:w="729" w:type="dxa"/>
                        <w:tcBorders>
                          <w:bottom w:val="nil"/>
                          <w:right w:val="single" w:sz="4" w:space="0" w:color="auto"/>
                        </w:tcBorders>
                        <w:noWrap/>
                        <w:vAlign w:val="bottom"/>
                      </w:tcPr>
                      <w:p w:rsidR="00000000" w:rsidRDefault="00BC67ED">
                        <w:pPr>
                          <w:rPr>
                            <w:rFonts w:ascii="Arial" w:hAnsi="Arial" w:cs="Arial"/>
                          </w:rPr>
                        </w:pPr>
                      </w:p>
                    </w:tc>
                    <w:tc>
                      <w:tcPr>
                        <w:tcW w:w="3864"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Esófago de Barret</w:t>
                        </w:r>
                      </w:p>
                    </w:tc>
                    <w:tc>
                      <w:tcPr>
                        <w:tcW w:w="1228" w:type="dxa"/>
                        <w:tcBorders>
                          <w:left w:val="single" w:sz="4" w:space="0" w:color="auto"/>
                          <w:bottom w:val="nil"/>
                        </w:tcBorders>
                        <w:noWrap/>
                        <w:vAlign w:val="bottom"/>
                      </w:tcPr>
                      <w:p w:rsidR="00000000" w:rsidRDefault="00BC67ED">
                        <w:pPr>
                          <w:rPr>
                            <w:rFonts w:ascii="Arial" w:hAnsi="Arial" w:cs="Arial"/>
                          </w:rPr>
                        </w:pPr>
                        <w:r>
                          <w:rPr>
                            <w:rFonts w:ascii="Arial" w:hAnsi="Arial" w:cs="Arial"/>
                          </w:rPr>
                          <w:t> </w:t>
                        </w:r>
                      </w:p>
                    </w:tc>
                  </w:tr>
                  <w:tr w:rsidR="00000000">
                    <w:trPr>
                      <w:trHeight w:val="70"/>
                      <w:jc w:val="center"/>
                    </w:trPr>
                    <w:tc>
                      <w:tcPr>
                        <w:tcW w:w="545" w:type="dxa"/>
                        <w:tcBorders>
                          <w:bottom w:val="single" w:sz="4" w:space="0" w:color="auto"/>
                        </w:tcBorders>
                      </w:tcPr>
                      <w:p w:rsidR="00000000" w:rsidRDefault="00BC67ED">
                        <w:pPr>
                          <w:rPr>
                            <w:rFonts w:ascii="Arial" w:hAnsi="Arial" w:cs="Arial"/>
                          </w:rPr>
                        </w:pPr>
                      </w:p>
                    </w:tc>
                    <w:tc>
                      <w:tcPr>
                        <w:tcW w:w="729" w:type="dxa"/>
                        <w:tcBorders>
                          <w:bottom w:val="single" w:sz="4" w:space="0" w:color="auto"/>
                          <w:right w:val="single" w:sz="4" w:space="0" w:color="auto"/>
                        </w:tcBorders>
                        <w:noWrap/>
                        <w:vAlign w:val="bottom"/>
                      </w:tcPr>
                      <w:p w:rsidR="00000000" w:rsidRDefault="00BC67ED">
                        <w:pPr>
                          <w:rPr>
                            <w:rFonts w:ascii="Arial" w:hAnsi="Arial" w:cs="Arial"/>
                          </w:rPr>
                        </w:pPr>
                      </w:p>
                    </w:tc>
                    <w:tc>
                      <w:tcPr>
                        <w:tcW w:w="192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0</w:t>
                        </w:r>
                      </w:p>
                    </w:tc>
                    <w:tc>
                      <w:tcPr>
                        <w:tcW w:w="1936"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w:t>
                        </w:r>
                      </w:p>
                    </w:tc>
                    <w:tc>
                      <w:tcPr>
                        <w:tcW w:w="1228"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773"/>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00000" w:rsidRDefault="00BC67ED">
                        <w:pPr>
                          <w:ind w:left="113" w:right="113"/>
                          <w:jc w:val="center"/>
                          <w:rPr>
                            <w:rFonts w:ascii="Arial" w:hAnsi="Arial" w:cs="Arial"/>
                            <w:b/>
                          </w:rPr>
                        </w:pPr>
                        <w:r>
                          <w:rPr>
                            <w:rFonts w:ascii="Arial" w:hAnsi="Arial" w:cs="Arial"/>
                            <w:b/>
                          </w:rPr>
                          <w:t>Obesidad</w:t>
                        </w:r>
                      </w:p>
                    </w:tc>
                    <w:tc>
                      <w:tcPr>
                        <w:tcW w:w="729"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16</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17</w:t>
                        </w:r>
                      </w:p>
                    </w:tc>
                  </w:tr>
                  <w:tr w:rsidR="00000000">
                    <w:trPr>
                      <w:cantSplit/>
                      <w:trHeight w:val="708"/>
                      <w:jc w:val="center"/>
                    </w:trPr>
                    <w:tc>
                      <w:tcPr>
                        <w:tcW w:w="545"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729"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19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w:t>
                        </w:r>
                      </w:p>
                    </w:tc>
                    <w:tc>
                      <w:tcPr>
                        <w:tcW w:w="193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100</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103</w:t>
                        </w:r>
                      </w:p>
                    </w:tc>
                  </w:tr>
                  <w:tr w:rsidR="00000000">
                    <w:trPr>
                      <w:trHeight w:val="255"/>
                      <w:jc w:val="center"/>
                    </w:trPr>
                    <w:tc>
                      <w:tcPr>
                        <w:tcW w:w="545" w:type="dxa"/>
                        <w:tcBorders>
                          <w:top w:val="single" w:sz="4" w:space="0" w:color="auto"/>
                          <w:right w:val="single" w:sz="4" w:space="0" w:color="auto"/>
                        </w:tcBorders>
                      </w:tcPr>
                      <w:p w:rsidR="00000000" w:rsidRDefault="00BC67ED">
                        <w:pPr>
                          <w:rPr>
                            <w:rFonts w:ascii="Arial" w:hAnsi="Arial" w:cs="Arial"/>
                          </w:rPr>
                        </w:pPr>
                      </w:p>
                    </w:tc>
                    <w:tc>
                      <w:tcPr>
                        <w:tcW w:w="729"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Total</w:t>
                        </w:r>
                      </w:p>
                    </w:tc>
                    <w:tc>
                      <w:tcPr>
                        <w:tcW w:w="192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4</w:t>
                        </w:r>
                      </w:p>
                    </w:tc>
                    <w:tc>
                      <w:tcPr>
                        <w:tcW w:w="1936"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116</w:t>
                        </w:r>
                      </w:p>
                    </w:tc>
                    <w:tc>
                      <w:tcPr>
                        <w:tcW w:w="122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lang w:val="es-ES"/>
                    </w:rPr>
                  </w:pPr>
                </w:p>
              </w:txbxContent>
            </v:textbox>
          </v:shape>
        </w:pict>
      </w: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pPr>
    </w:p>
    <w:p w:rsidR="00000000" w:rsidRDefault="00BC67ED">
      <w:pPr>
        <w:spacing w:line="360" w:lineRule="auto"/>
        <w:ind w:left="336" w:firstLine="708"/>
        <w:jc w:val="center"/>
      </w:pPr>
    </w:p>
    <w:p w:rsidR="00000000" w:rsidRDefault="00BC67ED">
      <w:pPr>
        <w:spacing w:line="360" w:lineRule="auto"/>
        <w:ind w:left="336" w:firstLine="708"/>
        <w:jc w:val="center"/>
      </w:pPr>
    </w:p>
    <w:p w:rsidR="00000000" w:rsidRDefault="00BC67ED">
      <w:pPr>
        <w:spacing w:line="360" w:lineRule="auto"/>
        <w:ind w:left="336" w:firstLine="708"/>
        <w:jc w:val="center"/>
      </w:pPr>
    </w:p>
    <w:p w:rsidR="00000000" w:rsidRDefault="00BC67ED">
      <w:pPr>
        <w:spacing w:line="360" w:lineRule="auto"/>
        <w:ind w:left="336" w:firstLine="708"/>
        <w:jc w:val="center"/>
      </w:pPr>
    </w:p>
    <w:p w:rsidR="00000000" w:rsidRDefault="00BC67ED">
      <w:pPr>
        <w:tabs>
          <w:tab w:val="left" w:pos="1260"/>
        </w:tabs>
        <w:spacing w:line="360" w:lineRule="auto"/>
        <w:ind w:left="1044"/>
        <w:jc w:val="center"/>
      </w:pPr>
    </w:p>
    <w:p w:rsidR="00000000" w:rsidRDefault="00BC67ED">
      <w:pPr>
        <w:spacing w:line="360" w:lineRule="auto"/>
        <w:ind w:left="1044"/>
        <w:jc w:val="center"/>
        <w:rPr>
          <w:rFonts w:ascii="Arial" w:hAnsi="Arial" w:cs="Arial"/>
          <w:sz w:val="20"/>
          <w:szCs w:val="20"/>
        </w:rPr>
      </w:pPr>
    </w:p>
    <w:tbl>
      <w:tblPr>
        <w:tblW w:w="0" w:type="auto"/>
        <w:tblInd w:w="1044" w:type="dxa"/>
        <w:tblLook w:val="01E0"/>
      </w:tblPr>
      <w:tblGrid>
        <w:gridCol w:w="692"/>
        <w:gridCol w:w="6280"/>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280" w:type="dxa"/>
          </w:tcPr>
          <w:p w:rsidR="00000000" w:rsidRDefault="00BC67ED">
            <w:pPr>
              <w:pStyle w:val="Textoindependiente"/>
              <w:rPr>
                <w:rFonts w:ascii="Arial" w:hAnsi="Arial"/>
                <w:b/>
              </w:rPr>
            </w:pPr>
            <w:r>
              <w:rPr>
                <w:rFonts w:ascii="Arial" w:hAnsi="Arial"/>
              </w:rPr>
              <w:t>La Obesidad y el Esófago de Barret son  independientes.</w:t>
            </w:r>
          </w:p>
        </w:tc>
      </w:tr>
      <w:tr w:rsidR="00000000">
        <w:tc>
          <w:tcPr>
            <w:tcW w:w="6972"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280"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pStyle w:val="Textoindependiente"/>
        <w:ind w:left="1329"/>
        <w:rPr>
          <w:rFonts w:ascii="Arial" w:hAnsi="Arial"/>
          <w:b/>
        </w:rPr>
      </w:pPr>
    </w:p>
    <w:p w:rsidR="00000000" w:rsidRDefault="00BC67ED">
      <w:pPr>
        <w:pStyle w:val="Textoindependiente"/>
        <w:ind w:left="1329"/>
        <w:rPr>
          <w:rFonts w:ascii="Arial" w:hAnsi="Arial"/>
          <w:b/>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2920" w:dyaOrig="780">
          <v:shape id="_x0000_i1156" type="#_x0000_t75" style="width:157.8pt;height:46.65pt" o:ole="">
            <v:imagedata r:id="rId300" o:title=""/>
          </v:shape>
          <o:OLEObject Type="Embed" ProgID="Equation.3" ShapeID="_x0000_i1156" DrawAspect="Content" ObjectID="_1307787476" r:id="rId301"/>
        </w:obje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57" type="#_x0000_t75" style="width:21.9pt;height:10.95pt" o:ole="">
            <v:imagedata r:id="rId268" o:title=""/>
          </v:shape>
          <o:OLEObject Type="Embed" ProgID="Equation.3" ShapeID="_x0000_i1157" DrawAspect="Content" ObjectID="_1307787477" r:id="rId302"/>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40" w:dyaOrig="400">
          <v:shape id="_x0000_i1158" type="#_x0000_t75" style="width:3in;height:28.8pt" o:ole="">
            <v:imagedata r:id="rId297" o:title=""/>
          </v:shape>
          <o:OLEObject Type="Embed" ProgID="Equation.3" ShapeID="_x0000_i1158" DrawAspect="Content" ObjectID="_1307787478" r:id="rId303"/>
        </w:object>
      </w:r>
    </w:p>
    <w:p w:rsidR="00000000" w:rsidRDefault="00BC67ED">
      <w:pPr>
        <w:spacing w:line="480" w:lineRule="auto"/>
        <w:ind w:left="1044"/>
        <w:jc w:val="both"/>
        <w:rPr>
          <w:rFonts w:ascii="Arial" w:hAnsi="Arial" w:cs="Arial"/>
        </w:rPr>
      </w:pPr>
    </w:p>
    <w:p w:rsidR="00000000" w:rsidRDefault="00BC67ED">
      <w:pPr>
        <w:spacing w:line="480" w:lineRule="auto"/>
        <w:ind w:left="1044"/>
        <w:jc w:val="both"/>
        <w:rPr>
          <w:rFonts w:ascii="Arial" w:hAnsi="Arial" w:cs="Arial"/>
        </w:rPr>
      </w:pPr>
      <w:r>
        <w:rPr>
          <w:rFonts w:ascii="Arial" w:hAnsi="Arial" w:cs="Arial"/>
        </w:rPr>
        <w:lastRenderedPageBreak/>
        <w:t>Para este caso,</w:t>
      </w:r>
      <w:r>
        <w:rPr>
          <w:rFonts w:ascii="Arial" w:hAnsi="Arial" w:cs="Arial"/>
          <w:position w:val="-14"/>
          <w:sz w:val="20"/>
          <w:szCs w:val="20"/>
        </w:rPr>
        <w:object w:dxaOrig="1500" w:dyaOrig="400">
          <v:shape id="_x0000_i1159" type="#_x0000_t75" style="width:106.55pt;height:28.8pt" o:ole="">
            <v:imagedata r:id="rId304" o:title=""/>
          </v:shape>
          <o:OLEObject Type="Embed" ProgID="Equation.3" ShapeID="_x0000_i1159" DrawAspect="Content" ObjectID="_1307787479" r:id="rId305"/>
        </w:object>
      </w:r>
      <w:r>
        <w:rPr>
          <w:rFonts w:ascii="Arial" w:hAnsi="Arial" w:cs="Arial"/>
          <w:sz w:val="20"/>
          <w:szCs w:val="20"/>
        </w:rPr>
        <w:t>,</w:t>
      </w:r>
      <w:r>
        <w:rPr>
          <w:rFonts w:ascii="Arial" w:hAnsi="Arial" w:cs="Arial"/>
        </w:rPr>
        <w:t xml:space="preserve"> podemos concluir que no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xml:space="preserve">, es decir que las variables son Independientes. </w:t>
      </w:r>
    </w:p>
    <w:p w:rsidR="00000000" w:rsidRDefault="00BC67ED">
      <w:pPr>
        <w:pStyle w:val="Ttulo3"/>
        <w:spacing w:before="0" w:after="0" w:line="480" w:lineRule="auto"/>
        <w:ind w:left="708"/>
        <w:jc w:val="both"/>
      </w:pPr>
    </w:p>
    <w:p w:rsidR="00000000" w:rsidRDefault="00BC67ED">
      <w:pPr>
        <w:pStyle w:val="Ttulo3"/>
        <w:spacing w:before="0" w:after="0" w:line="480" w:lineRule="auto"/>
        <w:ind w:left="708"/>
        <w:jc w:val="both"/>
      </w:pPr>
      <w:r>
        <w:t>Prueba de independencia: ADK</w:t>
      </w:r>
      <w:r>
        <w:rPr>
          <w:sz w:val="24"/>
          <w:szCs w:val="24"/>
        </w:rPr>
        <w:t xml:space="preserve"> vs. </w:t>
      </w:r>
      <w:r>
        <w:t xml:space="preserve">Dieta Dirigida </w:t>
      </w:r>
    </w:p>
    <w:p w:rsidR="00000000" w:rsidRDefault="00BC67ED">
      <w:pPr>
        <w:pStyle w:val="Textoindependiente"/>
        <w:spacing w:line="480" w:lineRule="auto"/>
        <w:ind w:left="708"/>
        <w:rPr>
          <w:rFonts w:ascii="Arial" w:hAnsi="Arial"/>
        </w:rPr>
      </w:pPr>
      <w:r>
        <w:rPr>
          <w:rFonts w:ascii="Arial" w:hAnsi="Arial"/>
        </w:rPr>
        <w:t>Se desea saber si el ADK es independiente de la Di</w:t>
      </w:r>
      <w:r>
        <w:rPr>
          <w:rFonts w:ascii="Arial" w:hAnsi="Arial"/>
        </w:rPr>
        <w:t>eta Dirigida. La tabla a continuación muestra la contingencia para este par de variables.</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XXXI</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spacing w:line="360" w:lineRule="auto"/>
        <w:ind w:left="336" w:firstLine="708"/>
        <w:jc w:val="center"/>
        <w:rPr>
          <w:rFonts w:ascii="Arial" w:hAnsi="Arial" w:cs="Arial"/>
          <w:b/>
        </w:rPr>
      </w:pPr>
      <w:r>
        <w:rPr>
          <w:rFonts w:ascii="Arial" w:hAnsi="Arial" w:cs="Arial"/>
          <w:b/>
        </w:rPr>
        <w:t>ADK vs. Dieta Dirigida</w:t>
      </w:r>
    </w:p>
    <w:p w:rsidR="00000000" w:rsidRDefault="00BC67ED">
      <w:pPr>
        <w:spacing w:line="360" w:lineRule="auto"/>
        <w:ind w:left="336" w:firstLine="708"/>
        <w:jc w:val="center"/>
        <w:rPr>
          <w:rFonts w:ascii="Arial" w:hAnsi="Arial" w:cs="Arial"/>
          <w:b/>
        </w:rPr>
      </w:pPr>
      <w:r>
        <w:rPr>
          <w:rFonts w:ascii="Arial" w:hAnsi="Arial" w:cs="Arial"/>
          <w:b/>
          <w:noProof/>
        </w:rPr>
        <w:pict>
          <v:shape id="_x0000_s1042" type="#_x0000_t202" style="position:absolute;left:0;text-align:left;margin-left:63pt;margin-top:8.2pt;width:351pt;height:231.25pt;z-index:251659264" strokeweight="4.5pt">
            <v:stroke linestyle="thinThick"/>
            <v:textbox style="mso-next-textbox:#_x0000_s1042">
              <w:txbxContent>
                <w:p w:rsidR="00000000" w:rsidRDefault="00BC67ED">
                  <w:pPr>
                    <w:jc w:val="center"/>
                    <w:rPr>
                      <w:rFonts w:ascii="Arial" w:hAnsi="Arial" w:cs="Arial"/>
                      <w:b/>
                    </w:rPr>
                  </w:pPr>
                  <w:r>
                    <w:rPr>
                      <w:rFonts w:ascii="Arial" w:hAnsi="Arial" w:cs="Arial"/>
                      <w:b/>
                    </w:rPr>
                    <w:t>Indepen</w:t>
                  </w:r>
                  <w:r>
                    <w:rPr>
                      <w:rFonts w:ascii="Arial" w:hAnsi="Arial" w:cs="Arial"/>
                      <w:b/>
                    </w:rPr>
                    <w:t xml:space="preserve">dencia de variables: </w:t>
                  </w:r>
                  <w:r>
                    <w:rPr>
                      <w:rFonts w:ascii="Garamond" w:hAnsi="Garamond"/>
                      <w:b/>
                      <w:sz w:val="26"/>
                    </w:rPr>
                    <w:t xml:space="preserve">             </w:t>
                  </w:r>
                  <w:r>
                    <w:rPr>
                      <w:rFonts w:ascii="Arial" w:hAnsi="Arial" w:cs="Arial"/>
                      <w:b/>
                    </w:rPr>
                    <w:t>ADK</w:t>
                  </w:r>
                </w:p>
                <w:p w:rsidR="00000000" w:rsidRDefault="00BC67ED">
                  <w:pPr>
                    <w:jc w:val="center"/>
                    <w:rPr>
                      <w:rFonts w:ascii="Arial" w:hAnsi="Arial" w:cs="Arial"/>
                      <w:b/>
                    </w:rPr>
                  </w:pPr>
                  <w:r>
                    <w:rPr>
                      <w:rFonts w:ascii="Arial" w:hAnsi="Arial" w:cs="Arial"/>
                      <w:b/>
                    </w:rPr>
                    <w:t xml:space="preserve">                                                              vs.</w:t>
                  </w:r>
                </w:p>
                <w:p w:rsidR="00000000" w:rsidRDefault="00BC67ED">
                  <w:pPr>
                    <w:jc w:val="center"/>
                    <w:rPr>
                      <w:rFonts w:ascii="Arial" w:hAnsi="Arial" w:cs="Arial"/>
                      <w:b/>
                    </w:rPr>
                  </w:pPr>
                  <w:r>
                    <w:rPr>
                      <w:rFonts w:ascii="Arial" w:hAnsi="Arial" w:cs="Arial"/>
                      <w:b/>
                    </w:rPr>
                    <w:t xml:space="preserve">                                                              Dieta Dirigida</w:t>
                  </w:r>
                </w:p>
                <w:p w:rsidR="00000000" w:rsidRDefault="00BC67ED">
                  <w:pPr>
                    <w:jc w:val="center"/>
                    <w:rPr>
                      <w:rFonts w:ascii="Arial" w:hAnsi="Arial" w:cs="Arial"/>
                      <w:sz w:val="20"/>
                      <w:szCs w:val="20"/>
                    </w:rPr>
                  </w:pPr>
                </w:p>
                <w:tbl>
                  <w:tblPr>
                    <w:tblW w:w="4249" w:type="dxa"/>
                    <w:jc w:val="center"/>
                    <w:tblInd w:w="1562" w:type="dxa"/>
                    <w:tblCellMar>
                      <w:left w:w="70" w:type="dxa"/>
                      <w:right w:w="70" w:type="dxa"/>
                    </w:tblCellMar>
                    <w:tblLook w:val="0000"/>
                  </w:tblPr>
                  <w:tblGrid>
                    <w:gridCol w:w="725"/>
                    <w:gridCol w:w="752"/>
                    <w:gridCol w:w="768"/>
                    <w:gridCol w:w="776"/>
                    <w:gridCol w:w="1228"/>
                  </w:tblGrid>
                  <w:tr w:rsidR="00000000">
                    <w:trPr>
                      <w:trHeight w:val="255"/>
                      <w:jc w:val="center"/>
                    </w:trPr>
                    <w:tc>
                      <w:tcPr>
                        <w:tcW w:w="725" w:type="dxa"/>
                        <w:tcBorders>
                          <w:bottom w:val="nil"/>
                        </w:tcBorders>
                      </w:tcPr>
                      <w:p w:rsidR="00000000" w:rsidRDefault="00BC67ED">
                        <w:pPr>
                          <w:rPr>
                            <w:rFonts w:ascii="Arial" w:hAnsi="Arial" w:cs="Arial"/>
                          </w:rPr>
                        </w:pPr>
                      </w:p>
                    </w:tc>
                    <w:tc>
                      <w:tcPr>
                        <w:tcW w:w="752" w:type="dxa"/>
                        <w:tcBorders>
                          <w:bottom w:val="nil"/>
                          <w:right w:val="single" w:sz="4" w:space="0" w:color="auto"/>
                        </w:tcBorders>
                        <w:noWrap/>
                        <w:vAlign w:val="bottom"/>
                      </w:tcPr>
                      <w:p w:rsidR="00000000" w:rsidRDefault="00BC67ED">
                        <w:pPr>
                          <w:rPr>
                            <w:rFonts w:ascii="Arial" w:hAnsi="Arial" w:cs="Arial"/>
                          </w:rPr>
                        </w:pPr>
                      </w:p>
                    </w:tc>
                    <w:tc>
                      <w:tcPr>
                        <w:tcW w:w="1544"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ADK</w:t>
                        </w:r>
                      </w:p>
                    </w:tc>
                    <w:tc>
                      <w:tcPr>
                        <w:tcW w:w="1228" w:type="dxa"/>
                        <w:tcBorders>
                          <w:left w:val="single" w:sz="4" w:space="0" w:color="auto"/>
                          <w:bottom w:val="nil"/>
                        </w:tcBorders>
                        <w:noWrap/>
                        <w:vAlign w:val="bottom"/>
                      </w:tcPr>
                      <w:p w:rsidR="00000000" w:rsidRDefault="00BC67ED">
                        <w:pPr>
                          <w:rPr>
                            <w:rFonts w:ascii="Arial" w:hAnsi="Arial" w:cs="Arial"/>
                          </w:rPr>
                        </w:pPr>
                        <w:r>
                          <w:rPr>
                            <w:rFonts w:ascii="Arial" w:hAnsi="Arial" w:cs="Arial"/>
                          </w:rPr>
                          <w:t> </w:t>
                        </w:r>
                      </w:p>
                    </w:tc>
                  </w:tr>
                  <w:tr w:rsidR="00000000">
                    <w:trPr>
                      <w:trHeight w:val="255"/>
                      <w:jc w:val="center"/>
                    </w:trPr>
                    <w:tc>
                      <w:tcPr>
                        <w:tcW w:w="725" w:type="dxa"/>
                        <w:tcBorders>
                          <w:bottom w:val="single" w:sz="4" w:space="0" w:color="auto"/>
                        </w:tcBorders>
                      </w:tcPr>
                      <w:p w:rsidR="00000000" w:rsidRDefault="00BC67ED">
                        <w:pPr>
                          <w:rPr>
                            <w:rFonts w:ascii="Arial" w:hAnsi="Arial" w:cs="Arial"/>
                          </w:rPr>
                        </w:pPr>
                      </w:p>
                    </w:tc>
                    <w:tc>
                      <w:tcPr>
                        <w:tcW w:w="752" w:type="dxa"/>
                        <w:tcBorders>
                          <w:bottom w:val="single" w:sz="4" w:space="0" w:color="auto"/>
                          <w:right w:val="single" w:sz="4" w:space="0" w:color="auto"/>
                        </w:tcBorders>
                        <w:noWrap/>
                        <w:vAlign w:val="bottom"/>
                      </w:tcPr>
                      <w:p w:rsidR="00000000" w:rsidRDefault="00BC67ED">
                        <w:pPr>
                          <w:rPr>
                            <w:rFonts w:ascii="Arial" w:hAnsi="Arial" w:cs="Arial"/>
                          </w:rPr>
                        </w:pPr>
                      </w:p>
                    </w:tc>
                    <w:tc>
                      <w:tcPr>
                        <w:tcW w:w="76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0</w:t>
                        </w:r>
                      </w:p>
                    </w:tc>
                    <w:tc>
                      <w:tcPr>
                        <w:tcW w:w="776"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w:t>
                        </w:r>
                      </w:p>
                    </w:tc>
                    <w:tc>
                      <w:tcPr>
                        <w:tcW w:w="1228"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518"/>
                      <w:jc w:val="center"/>
                    </w:trPr>
                    <w:tc>
                      <w:tcPr>
                        <w:tcW w:w="7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00000" w:rsidRDefault="00BC67ED">
                        <w:pPr>
                          <w:ind w:left="113" w:right="113"/>
                          <w:jc w:val="center"/>
                          <w:rPr>
                            <w:rFonts w:ascii="Arial" w:hAnsi="Arial" w:cs="Arial"/>
                            <w:b/>
                          </w:rPr>
                        </w:pPr>
                        <w:r>
                          <w:rPr>
                            <w:rFonts w:ascii="Arial" w:hAnsi="Arial" w:cs="Arial"/>
                            <w:b/>
                          </w:rPr>
                          <w:t>Dieta Dirigida</w:t>
                        </w: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7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28</w:t>
                        </w:r>
                      </w:p>
                    </w:tc>
                    <w:tc>
                      <w:tcPr>
                        <w:tcW w:w="7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72</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100</w:t>
                        </w:r>
                      </w:p>
                    </w:tc>
                  </w:tr>
                  <w:tr w:rsidR="00000000">
                    <w:trPr>
                      <w:cantSplit/>
                      <w:trHeight w:val="442"/>
                      <w:jc w:val="center"/>
                    </w:trPr>
                    <w:tc>
                      <w:tcPr>
                        <w:tcW w:w="725"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7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2</w:t>
                        </w:r>
                      </w:p>
                    </w:tc>
                    <w:tc>
                      <w:tcPr>
                        <w:tcW w:w="7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9</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11</w:t>
                        </w:r>
                      </w:p>
                    </w:tc>
                  </w:tr>
                  <w:tr w:rsidR="00000000">
                    <w:trPr>
                      <w:cantSplit/>
                      <w:trHeight w:val="450"/>
                      <w:jc w:val="center"/>
                    </w:trPr>
                    <w:tc>
                      <w:tcPr>
                        <w:tcW w:w="725"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2</w:t>
                        </w:r>
                      </w:p>
                    </w:tc>
                    <w:tc>
                      <w:tcPr>
                        <w:tcW w:w="7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0</w:t>
                        </w:r>
                      </w:p>
                    </w:tc>
                    <w:tc>
                      <w:tcPr>
                        <w:tcW w:w="7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r>
                  <w:tr w:rsidR="00000000">
                    <w:trPr>
                      <w:cantSplit/>
                      <w:trHeight w:val="464"/>
                      <w:jc w:val="center"/>
                    </w:trPr>
                    <w:tc>
                      <w:tcPr>
                        <w:tcW w:w="725"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752"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3</w:t>
                        </w:r>
                      </w:p>
                    </w:tc>
                    <w:tc>
                      <w:tcPr>
                        <w:tcW w:w="76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1</w:t>
                        </w:r>
                      </w:p>
                    </w:tc>
                    <w:tc>
                      <w:tcPr>
                        <w:tcW w:w="776"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7</w:t>
                        </w:r>
                      </w:p>
                    </w:tc>
                    <w:tc>
                      <w:tcPr>
                        <w:tcW w:w="1228"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i/>
                          </w:rPr>
                        </w:pPr>
                        <w:r>
                          <w:rPr>
                            <w:rFonts w:ascii="Arial" w:hAnsi="Arial" w:cs="Arial"/>
                            <w:i/>
                          </w:rPr>
                          <w:t>8</w:t>
                        </w:r>
                      </w:p>
                    </w:tc>
                  </w:tr>
                  <w:tr w:rsidR="00000000">
                    <w:trPr>
                      <w:trHeight w:val="255"/>
                      <w:jc w:val="center"/>
                    </w:trPr>
                    <w:tc>
                      <w:tcPr>
                        <w:tcW w:w="725" w:type="dxa"/>
                        <w:tcBorders>
                          <w:top w:val="single" w:sz="4" w:space="0" w:color="auto"/>
                          <w:right w:val="single" w:sz="4" w:space="0" w:color="auto"/>
                        </w:tcBorders>
                      </w:tcPr>
                      <w:p w:rsidR="00000000" w:rsidRDefault="00BC67ED">
                        <w:pPr>
                          <w:rPr>
                            <w:rFonts w:ascii="Arial" w:hAnsi="Arial" w:cs="Arial"/>
                          </w:rPr>
                        </w:pPr>
                      </w:p>
                    </w:tc>
                    <w:tc>
                      <w:tcPr>
                        <w:tcW w:w="752"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Total</w:t>
                        </w:r>
                      </w:p>
                    </w:tc>
                    <w:tc>
                      <w:tcPr>
                        <w:tcW w:w="76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31</w:t>
                        </w:r>
                      </w:p>
                    </w:tc>
                    <w:tc>
                      <w:tcPr>
                        <w:tcW w:w="776"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89</w:t>
                        </w:r>
                      </w:p>
                    </w:tc>
                    <w:tc>
                      <w:tcPr>
                        <w:tcW w:w="1228"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i/>
                          </w:rPr>
                        </w:pPr>
                        <w:r>
                          <w:rPr>
                            <w:rFonts w:ascii="Arial" w:hAnsi="Arial" w:cs="Arial"/>
                            <w:i/>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lang w:val="es-ES"/>
                    </w:rPr>
                  </w:pPr>
                </w:p>
              </w:txbxContent>
            </v:textbox>
          </v:shape>
        </w:pict>
      </w: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pPr>
    </w:p>
    <w:p w:rsidR="00000000" w:rsidRDefault="00BC67ED">
      <w:pPr>
        <w:tabs>
          <w:tab w:val="left" w:pos="1260"/>
        </w:tabs>
        <w:spacing w:line="360" w:lineRule="auto"/>
        <w:ind w:left="1044"/>
        <w:jc w:val="cente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p w:rsidR="00000000" w:rsidRDefault="00BC67ED">
      <w:pPr>
        <w:spacing w:line="360" w:lineRule="auto"/>
        <w:ind w:left="1044"/>
        <w:jc w:val="center"/>
        <w:rPr>
          <w:rFonts w:ascii="Arial" w:hAnsi="Arial" w:cs="Arial"/>
          <w:sz w:val="20"/>
          <w:szCs w:val="20"/>
        </w:rPr>
      </w:pPr>
    </w:p>
    <w:tbl>
      <w:tblPr>
        <w:tblW w:w="0" w:type="auto"/>
        <w:tblInd w:w="1044" w:type="dxa"/>
        <w:tblLook w:val="01E0"/>
      </w:tblPr>
      <w:tblGrid>
        <w:gridCol w:w="692"/>
        <w:gridCol w:w="6280"/>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280" w:type="dxa"/>
          </w:tcPr>
          <w:p w:rsidR="00000000" w:rsidRDefault="00BC67ED">
            <w:pPr>
              <w:pStyle w:val="Textoindependiente"/>
              <w:rPr>
                <w:rFonts w:ascii="Arial" w:hAnsi="Arial"/>
                <w:b/>
              </w:rPr>
            </w:pPr>
            <w:r>
              <w:rPr>
                <w:rFonts w:ascii="Arial" w:hAnsi="Arial"/>
              </w:rPr>
              <w:t>El ADK y la Dieta Dirigida son  independientes.</w:t>
            </w:r>
          </w:p>
        </w:tc>
      </w:tr>
      <w:tr w:rsidR="00000000">
        <w:tc>
          <w:tcPr>
            <w:tcW w:w="6972"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280"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pStyle w:val="Textoindependiente"/>
        <w:ind w:left="1329"/>
        <w:rPr>
          <w:rFonts w:ascii="Arial" w:hAnsi="Arial"/>
          <w:b/>
        </w:rPr>
      </w:pPr>
    </w:p>
    <w:p w:rsidR="00000000" w:rsidRDefault="00BC67ED">
      <w:pPr>
        <w:pStyle w:val="Textoindependiente"/>
        <w:ind w:left="1329"/>
        <w:rPr>
          <w:rFonts w:ascii="Arial" w:hAnsi="Arial"/>
          <w:b/>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2900" w:dyaOrig="780">
          <v:shape id="_x0000_i1160" type="#_x0000_t75" style="width:156.65pt;height:46.65pt" o:ole="">
            <v:imagedata r:id="rId306" o:title=""/>
          </v:shape>
          <o:OLEObject Type="Embed" ProgID="Equation.3" ShapeID="_x0000_i1160" DrawAspect="Content" ObjectID="_1307787480" r:id="rId307"/>
        </w:obje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61" type="#_x0000_t75" style="width:21.9pt;height:10.95pt" o:ole="">
            <v:imagedata r:id="rId268" o:title=""/>
          </v:shape>
          <o:OLEObject Type="Embed" ProgID="Equation.3" ShapeID="_x0000_i1161" DrawAspect="Content" ObjectID="_1307787481" r:id="rId308"/>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40" w:dyaOrig="400">
          <v:shape id="_x0000_i1162" type="#_x0000_t75" style="width:3in;height:28.8pt" o:ole="">
            <v:imagedata r:id="rId309" o:title=""/>
          </v:shape>
          <o:OLEObject Type="Embed" ProgID="Equation.3" ShapeID="_x0000_i1162" DrawAspect="Content" ObjectID="_1307787482" r:id="rId310"/>
        </w:object>
      </w:r>
    </w:p>
    <w:p w:rsidR="00000000" w:rsidRDefault="00BC67ED">
      <w:pPr>
        <w:spacing w:line="480" w:lineRule="auto"/>
        <w:ind w:left="1044"/>
        <w:jc w:val="both"/>
        <w:rPr>
          <w:rFonts w:ascii="Arial" w:hAnsi="Arial" w:cs="Arial"/>
        </w:rPr>
      </w:pPr>
      <w:r>
        <w:rPr>
          <w:rFonts w:ascii="Arial" w:hAnsi="Arial" w:cs="Arial"/>
        </w:rPr>
        <w:t>Para este caso,</w:t>
      </w:r>
      <w:r>
        <w:rPr>
          <w:rFonts w:ascii="Arial" w:hAnsi="Arial" w:cs="Arial"/>
          <w:position w:val="-14"/>
          <w:sz w:val="20"/>
          <w:szCs w:val="20"/>
        </w:rPr>
        <w:object w:dxaOrig="1500" w:dyaOrig="400">
          <v:shape id="_x0000_i1163" type="#_x0000_t75" style="width:106.55pt;height:28.8pt" o:ole="">
            <v:imagedata r:id="rId311" o:title=""/>
          </v:shape>
          <o:OLEObject Type="Embed" ProgID="Equation.3" ShapeID="_x0000_i1163" DrawAspect="Content" ObjectID="_1307787483" r:id="rId312"/>
        </w:object>
      </w:r>
      <w:r>
        <w:rPr>
          <w:rFonts w:ascii="Arial" w:hAnsi="Arial" w:cs="Arial"/>
          <w:sz w:val="20"/>
          <w:szCs w:val="20"/>
        </w:rPr>
        <w:t>,</w:t>
      </w:r>
      <w:r>
        <w:rPr>
          <w:rFonts w:ascii="Arial" w:hAnsi="Arial" w:cs="Arial"/>
        </w:rPr>
        <w:t xml:space="preserve"> podemos concluir que existe suficiente evidencia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xml:space="preserve">, es decir que las variables son dependientes. </w:t>
      </w:r>
    </w:p>
    <w:p w:rsidR="00000000" w:rsidRDefault="00BC67ED">
      <w:pPr>
        <w:pStyle w:val="Ttulo3"/>
        <w:spacing w:before="0" w:after="0" w:line="480" w:lineRule="auto"/>
        <w:ind w:left="708"/>
        <w:jc w:val="both"/>
        <w:rPr>
          <w:sz w:val="16"/>
          <w:szCs w:val="16"/>
        </w:rPr>
      </w:pPr>
    </w:p>
    <w:p w:rsidR="00000000" w:rsidRDefault="00BC67ED">
      <w:pPr>
        <w:pStyle w:val="Ttulo3"/>
        <w:spacing w:before="0" w:after="0" w:line="480" w:lineRule="auto"/>
        <w:ind w:left="708"/>
        <w:jc w:val="both"/>
      </w:pPr>
      <w:r>
        <w:t xml:space="preserve">Prueba </w:t>
      </w:r>
      <w:r>
        <w:t xml:space="preserve">de independencia: Ingesta Cáustico </w:t>
      </w:r>
      <w:r>
        <w:rPr>
          <w:sz w:val="24"/>
          <w:szCs w:val="24"/>
        </w:rPr>
        <w:t xml:space="preserve">vs. </w:t>
      </w:r>
      <w:r>
        <w:t>ADK</w:t>
      </w:r>
      <w:r>
        <w:rPr>
          <w:sz w:val="24"/>
          <w:szCs w:val="24"/>
        </w:rPr>
        <w:t xml:space="preserve"> </w:t>
      </w:r>
    </w:p>
    <w:p w:rsidR="00000000" w:rsidRDefault="00BC67ED">
      <w:pPr>
        <w:pStyle w:val="Textoindependiente"/>
        <w:spacing w:line="480" w:lineRule="auto"/>
        <w:ind w:left="708"/>
        <w:rPr>
          <w:rFonts w:ascii="Arial" w:hAnsi="Arial"/>
        </w:rPr>
      </w:pPr>
      <w:r>
        <w:rPr>
          <w:rFonts w:ascii="Arial" w:hAnsi="Arial"/>
        </w:rPr>
        <w:t>Se desea saber si la Ingesta Cáustico es independiente del ADK. La tabla a continuación muestra la contingencia para este par de variables.</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XXXII</w:t>
      </w:r>
    </w:p>
    <w:p w:rsidR="00000000" w:rsidRDefault="00BC67ED">
      <w:pPr>
        <w:pStyle w:val="Sangradetextonormal"/>
        <w:tabs>
          <w:tab w:val="left" w:pos="1260"/>
          <w:tab w:val="left" w:pos="1440"/>
        </w:tabs>
        <w:ind w:left="1068"/>
        <w:jc w:val="center"/>
        <w:rPr>
          <w:rFonts w:ascii="Arial" w:hAnsi="Arial" w:cs="Arial"/>
          <w:b/>
          <w:bCs/>
        </w:rPr>
      </w:pPr>
      <w:r>
        <w:rPr>
          <w:rFonts w:ascii="Arial" w:hAnsi="Arial" w:cs="Arial"/>
          <w:b/>
          <w:bCs/>
        </w:rPr>
        <w:t>Tabla De Contingencia De Las Variables</w:t>
      </w:r>
    </w:p>
    <w:p w:rsidR="00000000" w:rsidRDefault="00BC67ED">
      <w:pPr>
        <w:spacing w:line="360" w:lineRule="auto"/>
        <w:ind w:left="336" w:firstLine="708"/>
        <w:jc w:val="center"/>
        <w:rPr>
          <w:rFonts w:ascii="Arial" w:hAnsi="Arial" w:cs="Arial"/>
          <w:b/>
        </w:rPr>
      </w:pPr>
      <w:r>
        <w:rPr>
          <w:rFonts w:ascii="Arial" w:hAnsi="Arial" w:cs="Arial"/>
          <w:b/>
        </w:rPr>
        <w:t xml:space="preserve"> Ingesta Caústico vs.</w:t>
      </w:r>
      <w:r>
        <w:rPr>
          <w:rFonts w:ascii="Arial" w:hAnsi="Arial" w:cs="Arial"/>
          <w:b/>
        </w:rPr>
        <w:t xml:space="preserve"> ADK </w:t>
      </w:r>
    </w:p>
    <w:p w:rsidR="00000000" w:rsidRDefault="00BC67ED">
      <w:pPr>
        <w:spacing w:line="360" w:lineRule="auto"/>
        <w:ind w:left="336" w:firstLine="708"/>
        <w:jc w:val="center"/>
        <w:rPr>
          <w:rFonts w:ascii="Arial" w:hAnsi="Arial" w:cs="Arial"/>
          <w:b/>
        </w:rPr>
      </w:pPr>
      <w:r>
        <w:rPr>
          <w:rFonts w:ascii="Arial" w:hAnsi="Arial" w:cs="Arial"/>
          <w:b/>
          <w:noProof/>
        </w:rPr>
        <w:pict>
          <v:shape id="_x0000_s1043" type="#_x0000_t202" style="position:absolute;left:0;text-align:left;margin-left:63pt;margin-top:8.2pt;width:351pt;height:189.5pt;z-index:251660288" strokeweight="4.5pt">
            <v:stroke linestyle="thinThick"/>
            <v:textbox style="mso-next-textbox:#_x0000_s1043">
              <w:txbxContent>
                <w:p w:rsidR="00000000" w:rsidRDefault="00BC67ED">
                  <w:pPr>
                    <w:jc w:val="center"/>
                    <w:rPr>
                      <w:rFonts w:ascii="Arial" w:hAnsi="Arial" w:cs="Arial"/>
                      <w:b/>
                    </w:rPr>
                  </w:pPr>
                  <w:r>
                    <w:rPr>
                      <w:rFonts w:ascii="Arial" w:hAnsi="Arial" w:cs="Arial"/>
                      <w:b/>
                    </w:rPr>
                    <w:t xml:space="preserve">Independencia de variables: </w:t>
                  </w:r>
                  <w:r>
                    <w:rPr>
                      <w:rFonts w:ascii="Garamond" w:hAnsi="Garamond"/>
                      <w:b/>
                      <w:sz w:val="26"/>
                    </w:rPr>
                    <w:t xml:space="preserve">             </w:t>
                  </w:r>
                  <w:r>
                    <w:rPr>
                      <w:rFonts w:ascii="Arial" w:hAnsi="Arial" w:cs="Arial"/>
                      <w:b/>
                    </w:rPr>
                    <w:t>Ingesta Caústico</w:t>
                  </w:r>
                </w:p>
                <w:p w:rsidR="00000000" w:rsidRDefault="00BC67ED">
                  <w:pPr>
                    <w:jc w:val="center"/>
                    <w:rPr>
                      <w:rFonts w:ascii="Arial" w:hAnsi="Arial" w:cs="Arial"/>
                      <w:b/>
                    </w:rPr>
                  </w:pPr>
                  <w:r>
                    <w:rPr>
                      <w:rFonts w:ascii="Arial" w:hAnsi="Arial" w:cs="Arial"/>
                      <w:b/>
                    </w:rPr>
                    <w:t xml:space="preserve">                                                              vs.</w:t>
                  </w:r>
                </w:p>
                <w:p w:rsidR="00000000" w:rsidRDefault="00BC67ED">
                  <w:pPr>
                    <w:jc w:val="center"/>
                    <w:rPr>
                      <w:rFonts w:ascii="Arial" w:hAnsi="Arial" w:cs="Arial"/>
                      <w:b/>
                    </w:rPr>
                  </w:pPr>
                  <w:r>
                    <w:rPr>
                      <w:rFonts w:ascii="Arial" w:hAnsi="Arial" w:cs="Arial"/>
                      <w:b/>
                    </w:rPr>
                    <w:t xml:space="preserve">                                                            </w:t>
                  </w:r>
                  <w:r>
                    <w:rPr>
                      <w:rFonts w:ascii="Arial" w:hAnsi="Arial" w:cs="Arial"/>
                      <w:b/>
                    </w:rPr>
                    <w:t xml:space="preserve">  ADK</w:t>
                  </w:r>
                </w:p>
                <w:p w:rsidR="00000000" w:rsidRDefault="00BC67ED">
                  <w:pPr>
                    <w:jc w:val="center"/>
                    <w:rPr>
                      <w:rFonts w:ascii="Arial" w:hAnsi="Arial" w:cs="Arial"/>
                      <w:b/>
                    </w:rPr>
                  </w:pPr>
                </w:p>
                <w:p w:rsidR="00000000" w:rsidRDefault="00BC67ED">
                  <w:pPr>
                    <w:jc w:val="center"/>
                    <w:rPr>
                      <w:rFonts w:ascii="Arial" w:hAnsi="Arial" w:cs="Arial"/>
                      <w:b/>
                    </w:rPr>
                  </w:pPr>
                </w:p>
                <w:tbl>
                  <w:tblPr>
                    <w:tblW w:w="4311" w:type="dxa"/>
                    <w:jc w:val="center"/>
                    <w:tblCellMar>
                      <w:left w:w="70" w:type="dxa"/>
                      <w:right w:w="70" w:type="dxa"/>
                    </w:tblCellMar>
                    <w:tblLook w:val="0000"/>
                  </w:tblPr>
                  <w:tblGrid>
                    <w:gridCol w:w="689"/>
                    <w:gridCol w:w="714"/>
                    <w:gridCol w:w="1104"/>
                    <w:gridCol w:w="1090"/>
                    <w:gridCol w:w="714"/>
                  </w:tblGrid>
                  <w:tr w:rsidR="00000000">
                    <w:trPr>
                      <w:trHeight w:val="255"/>
                      <w:jc w:val="center"/>
                    </w:trPr>
                    <w:tc>
                      <w:tcPr>
                        <w:tcW w:w="689" w:type="dxa"/>
                        <w:tcBorders>
                          <w:bottom w:val="nil"/>
                        </w:tcBorders>
                      </w:tcPr>
                      <w:p w:rsidR="00000000" w:rsidRDefault="00BC67ED">
                        <w:pPr>
                          <w:rPr>
                            <w:rFonts w:ascii="Arial" w:hAnsi="Arial" w:cs="Arial"/>
                          </w:rPr>
                        </w:pPr>
                      </w:p>
                    </w:tc>
                    <w:tc>
                      <w:tcPr>
                        <w:tcW w:w="714" w:type="dxa"/>
                        <w:tcBorders>
                          <w:bottom w:val="nil"/>
                          <w:right w:val="single" w:sz="4" w:space="0" w:color="auto"/>
                        </w:tcBorders>
                        <w:noWrap/>
                        <w:vAlign w:val="bottom"/>
                      </w:tcPr>
                      <w:p w:rsidR="00000000" w:rsidRDefault="00BC67ED">
                        <w:pPr>
                          <w:rPr>
                            <w:rFonts w:ascii="Arial" w:hAnsi="Arial" w:cs="Arial"/>
                          </w:rPr>
                        </w:pPr>
                      </w:p>
                    </w:tc>
                    <w:tc>
                      <w:tcPr>
                        <w:tcW w:w="2194"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rPr>
                        </w:pPr>
                        <w:r>
                          <w:rPr>
                            <w:rFonts w:ascii="Arial" w:hAnsi="Arial" w:cs="Arial"/>
                            <w:b/>
                          </w:rPr>
                          <w:t>Ingesta Caústico</w:t>
                        </w:r>
                      </w:p>
                    </w:tc>
                    <w:tc>
                      <w:tcPr>
                        <w:tcW w:w="714" w:type="dxa"/>
                        <w:tcBorders>
                          <w:left w:val="single" w:sz="4" w:space="0" w:color="auto"/>
                          <w:bottom w:val="nil"/>
                        </w:tcBorders>
                        <w:noWrap/>
                        <w:vAlign w:val="bottom"/>
                      </w:tcPr>
                      <w:p w:rsidR="00000000" w:rsidRDefault="00BC67ED">
                        <w:pPr>
                          <w:rPr>
                            <w:rFonts w:ascii="Arial" w:hAnsi="Arial" w:cs="Arial"/>
                          </w:rPr>
                        </w:pPr>
                        <w:r>
                          <w:rPr>
                            <w:rFonts w:ascii="Arial" w:hAnsi="Arial" w:cs="Arial"/>
                          </w:rPr>
                          <w:t> </w:t>
                        </w:r>
                      </w:p>
                    </w:tc>
                  </w:tr>
                  <w:tr w:rsidR="00000000">
                    <w:trPr>
                      <w:trHeight w:val="255"/>
                      <w:jc w:val="center"/>
                    </w:trPr>
                    <w:tc>
                      <w:tcPr>
                        <w:tcW w:w="689" w:type="dxa"/>
                        <w:tcBorders>
                          <w:bottom w:val="single" w:sz="4" w:space="0" w:color="auto"/>
                        </w:tcBorders>
                      </w:tcPr>
                      <w:p w:rsidR="00000000" w:rsidRDefault="00BC67ED">
                        <w:pPr>
                          <w:rPr>
                            <w:rFonts w:ascii="Arial" w:hAnsi="Arial" w:cs="Arial"/>
                          </w:rPr>
                        </w:pPr>
                      </w:p>
                    </w:tc>
                    <w:tc>
                      <w:tcPr>
                        <w:tcW w:w="714" w:type="dxa"/>
                        <w:tcBorders>
                          <w:bottom w:val="single" w:sz="4" w:space="0" w:color="auto"/>
                          <w:right w:val="single" w:sz="4" w:space="0" w:color="auto"/>
                        </w:tcBorders>
                        <w:noWrap/>
                        <w:vAlign w:val="bottom"/>
                      </w:tcPr>
                      <w:p w:rsidR="00000000" w:rsidRDefault="00BC67ED">
                        <w:pPr>
                          <w:rPr>
                            <w:rFonts w:ascii="Arial" w:hAnsi="Arial" w:cs="Arial"/>
                          </w:rPr>
                        </w:pPr>
                      </w:p>
                    </w:tc>
                    <w:tc>
                      <w:tcPr>
                        <w:tcW w:w="1104"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109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w:t>
                        </w:r>
                      </w:p>
                    </w:tc>
                    <w:tc>
                      <w:tcPr>
                        <w:tcW w:w="714" w:type="dxa"/>
                        <w:tcBorders>
                          <w:top w:val="single" w:sz="4" w:space="0" w:color="000000"/>
                          <w:left w:val="single" w:sz="4" w:space="0" w:color="auto"/>
                          <w:bottom w:val="single" w:sz="4" w:space="0" w:color="auto"/>
                          <w:right w:val="single" w:sz="4" w:space="0" w:color="000000"/>
                        </w:tcBorders>
                        <w:noWrap/>
                        <w:vAlign w:val="bottom"/>
                      </w:tcPr>
                      <w:p w:rsidR="00000000" w:rsidRDefault="00BC67ED">
                        <w:pPr>
                          <w:jc w:val="center"/>
                          <w:rPr>
                            <w:rFonts w:ascii="Arial" w:hAnsi="Arial" w:cs="Arial"/>
                            <w:b/>
                          </w:rPr>
                        </w:pPr>
                        <w:r>
                          <w:rPr>
                            <w:rFonts w:ascii="Arial" w:hAnsi="Arial" w:cs="Arial"/>
                            <w:b/>
                          </w:rPr>
                          <w:t>Total</w:t>
                        </w:r>
                      </w:p>
                    </w:tc>
                  </w:tr>
                  <w:tr w:rsidR="00000000">
                    <w:trPr>
                      <w:cantSplit/>
                      <w:trHeight w:val="421"/>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000000" w:rsidRDefault="00BC67ED">
                        <w:pPr>
                          <w:ind w:left="113" w:right="113"/>
                          <w:jc w:val="center"/>
                          <w:rPr>
                            <w:rFonts w:ascii="Arial" w:hAnsi="Arial" w:cs="Arial"/>
                            <w:b/>
                          </w:rPr>
                        </w:pPr>
                        <w:r>
                          <w:rPr>
                            <w:rFonts w:ascii="Arial" w:hAnsi="Arial" w:cs="Arial"/>
                            <w:b/>
                          </w:rPr>
                          <w:t>ADK</w:t>
                        </w:r>
                      </w:p>
                    </w:tc>
                    <w:tc>
                      <w:tcPr>
                        <w:tcW w:w="71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0</w:t>
                        </w:r>
                      </w:p>
                    </w:tc>
                    <w:tc>
                      <w:tcPr>
                        <w:tcW w:w="110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1</w:t>
                        </w:r>
                      </w:p>
                    </w:tc>
                    <w:tc>
                      <w:tcPr>
                        <w:tcW w:w="109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30</w:t>
                        </w:r>
                      </w:p>
                    </w:tc>
                    <w:tc>
                      <w:tcPr>
                        <w:tcW w:w="71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31</w:t>
                        </w:r>
                      </w:p>
                    </w:tc>
                  </w:tr>
                  <w:tr w:rsidR="00000000">
                    <w:trPr>
                      <w:cantSplit/>
                      <w:trHeight w:val="369"/>
                      <w:jc w:val="center"/>
                    </w:trPr>
                    <w:tc>
                      <w:tcPr>
                        <w:tcW w:w="689" w:type="dxa"/>
                        <w:vMerge/>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rPr>
                        </w:pPr>
                      </w:p>
                    </w:tc>
                    <w:tc>
                      <w:tcPr>
                        <w:tcW w:w="71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1</w:t>
                        </w:r>
                      </w:p>
                    </w:tc>
                    <w:tc>
                      <w:tcPr>
                        <w:tcW w:w="110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7</w:t>
                        </w:r>
                      </w:p>
                    </w:tc>
                    <w:tc>
                      <w:tcPr>
                        <w:tcW w:w="1090"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82</w:t>
                        </w:r>
                      </w:p>
                    </w:tc>
                    <w:tc>
                      <w:tcPr>
                        <w:tcW w:w="714" w:type="dxa"/>
                        <w:tcBorders>
                          <w:top w:val="single" w:sz="4" w:space="0" w:color="auto"/>
                          <w:left w:val="single" w:sz="4" w:space="0" w:color="auto"/>
                          <w:bottom w:val="single" w:sz="4" w:space="0" w:color="auto"/>
                          <w:right w:val="single" w:sz="4" w:space="0" w:color="auto"/>
                        </w:tcBorders>
                        <w:noWrap/>
                        <w:vAlign w:val="center"/>
                      </w:tcPr>
                      <w:p w:rsidR="00000000" w:rsidRDefault="00BC67ED">
                        <w:pPr>
                          <w:jc w:val="right"/>
                          <w:rPr>
                            <w:rFonts w:ascii="Arial" w:hAnsi="Arial" w:cs="Arial"/>
                          </w:rPr>
                        </w:pPr>
                        <w:r>
                          <w:rPr>
                            <w:rFonts w:ascii="Arial" w:hAnsi="Arial" w:cs="Arial"/>
                          </w:rPr>
                          <w:t>89</w:t>
                        </w:r>
                      </w:p>
                    </w:tc>
                  </w:tr>
                  <w:tr w:rsidR="00000000">
                    <w:trPr>
                      <w:trHeight w:val="255"/>
                      <w:jc w:val="center"/>
                    </w:trPr>
                    <w:tc>
                      <w:tcPr>
                        <w:tcW w:w="689" w:type="dxa"/>
                        <w:tcBorders>
                          <w:top w:val="single" w:sz="4" w:space="0" w:color="auto"/>
                          <w:right w:val="single" w:sz="4" w:space="0" w:color="auto"/>
                        </w:tcBorders>
                      </w:tcPr>
                      <w:p w:rsidR="00000000" w:rsidRDefault="00BC67ED">
                        <w:pPr>
                          <w:rPr>
                            <w:rFonts w:ascii="Arial" w:hAnsi="Arial" w:cs="Arial"/>
                          </w:rPr>
                        </w:pPr>
                      </w:p>
                    </w:tc>
                    <w:tc>
                      <w:tcPr>
                        <w:tcW w:w="714" w:type="dxa"/>
                        <w:tcBorders>
                          <w:top w:val="single" w:sz="4" w:space="0" w:color="auto"/>
                          <w:left w:val="single" w:sz="4" w:space="0" w:color="auto"/>
                          <w:bottom w:val="single" w:sz="4" w:space="0" w:color="auto"/>
                          <w:right w:val="single" w:sz="4" w:space="0" w:color="auto"/>
                        </w:tcBorders>
                        <w:noWrap/>
                        <w:vAlign w:val="bottom"/>
                      </w:tcPr>
                      <w:p w:rsidR="00000000" w:rsidRDefault="00BC67ED">
                        <w:pPr>
                          <w:rPr>
                            <w:rFonts w:ascii="Arial" w:hAnsi="Arial" w:cs="Arial"/>
                            <w:b/>
                          </w:rPr>
                        </w:pPr>
                        <w:r>
                          <w:rPr>
                            <w:rFonts w:ascii="Arial" w:hAnsi="Arial" w:cs="Arial"/>
                            <w:b/>
                          </w:rPr>
                          <w:t>Total</w:t>
                        </w:r>
                      </w:p>
                    </w:tc>
                    <w:tc>
                      <w:tcPr>
                        <w:tcW w:w="1104"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w:t>
                        </w:r>
                      </w:p>
                    </w:tc>
                    <w:tc>
                      <w:tcPr>
                        <w:tcW w:w="1090"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112</w:t>
                        </w:r>
                      </w:p>
                    </w:tc>
                    <w:tc>
                      <w:tcPr>
                        <w:tcW w:w="714" w:type="dxa"/>
                        <w:tcBorders>
                          <w:top w:val="single" w:sz="4" w:space="0" w:color="auto"/>
                          <w:left w:val="single" w:sz="4" w:space="0" w:color="auto"/>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120</w:t>
                        </w:r>
                      </w:p>
                    </w:tc>
                  </w:tr>
                </w:tbl>
                <w:p w:rsidR="00000000" w:rsidRDefault="00BC67ED">
                  <w:pPr>
                    <w:jc w:val="right"/>
                    <w:rPr>
                      <w:lang w:val="es-ES"/>
                    </w:rPr>
                  </w:pPr>
                </w:p>
                <w:p w:rsidR="00000000" w:rsidRDefault="00BC67ED">
                  <w:pPr>
                    <w:jc w:val="right"/>
                    <w:rPr>
                      <w:lang w:val="es-ES"/>
                    </w:rPr>
                  </w:pPr>
                  <w:r>
                    <w:rPr>
                      <w:lang w:val="es-ES"/>
                    </w:rPr>
                    <w:t>Elaborado por: Víctor Aníbal Malucín Medina</w:t>
                  </w:r>
                </w:p>
                <w:p w:rsidR="00000000" w:rsidRDefault="00BC67ED">
                  <w:pPr>
                    <w:jc w:val="right"/>
                    <w:rPr>
                      <w:rFonts w:ascii="Arial" w:hAnsi="Arial" w:cs="Arial"/>
                      <w:b/>
                      <w:lang w:val="es-ES"/>
                    </w:rPr>
                  </w:pPr>
                </w:p>
              </w:txbxContent>
            </v:textbox>
          </v:shape>
        </w:pict>
      </w: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rPr>
          <w:rFonts w:ascii="Arial" w:hAnsi="Arial" w:cs="Arial"/>
          <w:b/>
        </w:rPr>
      </w:pPr>
    </w:p>
    <w:p w:rsidR="00000000" w:rsidRDefault="00BC67ED">
      <w:pPr>
        <w:spacing w:line="360" w:lineRule="auto"/>
        <w:ind w:left="336" w:firstLine="708"/>
        <w:jc w:val="center"/>
      </w:pPr>
    </w:p>
    <w:p w:rsidR="00000000" w:rsidRDefault="00BC67ED">
      <w:pPr>
        <w:tabs>
          <w:tab w:val="left" w:pos="1260"/>
        </w:tabs>
        <w:spacing w:line="360" w:lineRule="auto"/>
        <w:ind w:left="1044"/>
        <w:jc w:val="center"/>
      </w:pPr>
    </w:p>
    <w:p w:rsidR="00000000" w:rsidRDefault="00BC67ED">
      <w:pPr>
        <w:spacing w:line="360" w:lineRule="auto"/>
        <w:ind w:left="1044"/>
        <w:jc w:val="center"/>
        <w:rPr>
          <w:rFonts w:ascii="Arial" w:hAnsi="Arial" w:cs="Arial"/>
          <w:sz w:val="20"/>
          <w:szCs w:val="20"/>
        </w:rPr>
      </w:pPr>
    </w:p>
    <w:tbl>
      <w:tblPr>
        <w:tblW w:w="0" w:type="auto"/>
        <w:tblInd w:w="1044" w:type="dxa"/>
        <w:tblLook w:val="01E0"/>
      </w:tblPr>
      <w:tblGrid>
        <w:gridCol w:w="692"/>
        <w:gridCol w:w="6280"/>
      </w:tblGrid>
      <w:tr w:rsidR="00000000">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0</w:t>
            </w:r>
            <w:r>
              <w:rPr>
                <w:rFonts w:ascii="Arial" w:hAnsi="Arial"/>
                <w:b/>
              </w:rPr>
              <w:t>:</w:t>
            </w:r>
          </w:p>
        </w:tc>
        <w:tc>
          <w:tcPr>
            <w:tcW w:w="6280" w:type="dxa"/>
          </w:tcPr>
          <w:p w:rsidR="00000000" w:rsidRDefault="00BC67ED">
            <w:pPr>
              <w:pStyle w:val="Textoindependiente"/>
              <w:rPr>
                <w:rFonts w:ascii="Arial" w:hAnsi="Arial"/>
                <w:b/>
              </w:rPr>
            </w:pPr>
            <w:r>
              <w:rPr>
                <w:rFonts w:ascii="Arial" w:hAnsi="Arial"/>
              </w:rPr>
              <w:t>La Ingesta Caústico y el ADK son  independientes.</w:t>
            </w:r>
          </w:p>
        </w:tc>
      </w:tr>
      <w:tr w:rsidR="00000000">
        <w:tc>
          <w:tcPr>
            <w:tcW w:w="6972" w:type="dxa"/>
            <w:gridSpan w:val="2"/>
          </w:tcPr>
          <w:p w:rsidR="00000000" w:rsidRDefault="00BC67ED">
            <w:pPr>
              <w:pStyle w:val="Textoindependiente"/>
              <w:jc w:val="center"/>
              <w:rPr>
                <w:rFonts w:ascii="Arial" w:hAnsi="Arial"/>
                <w:b/>
              </w:rPr>
            </w:pPr>
            <w:r>
              <w:rPr>
                <w:rFonts w:ascii="Arial" w:hAnsi="Arial"/>
                <w:b/>
              </w:rPr>
              <w:t>Vs.</w:t>
            </w:r>
          </w:p>
        </w:tc>
      </w:tr>
      <w:tr w:rsidR="00000000">
        <w:trPr>
          <w:trHeight w:val="449"/>
        </w:trPr>
        <w:tc>
          <w:tcPr>
            <w:tcW w:w="692" w:type="dxa"/>
            <w:vAlign w:val="center"/>
          </w:tcPr>
          <w:p w:rsidR="00000000" w:rsidRDefault="00BC67ED">
            <w:pPr>
              <w:pStyle w:val="Textoindependiente"/>
              <w:jc w:val="center"/>
              <w:rPr>
                <w:rFonts w:ascii="Arial" w:hAnsi="Arial"/>
                <w:b/>
              </w:rPr>
            </w:pPr>
            <w:r>
              <w:rPr>
                <w:rFonts w:ascii="Arial" w:hAnsi="Arial"/>
                <w:b/>
              </w:rPr>
              <w:t>H</w:t>
            </w:r>
            <w:r>
              <w:rPr>
                <w:rFonts w:ascii="Arial" w:hAnsi="Arial"/>
                <w:b/>
                <w:vertAlign w:val="subscript"/>
              </w:rPr>
              <w:t>1</w:t>
            </w:r>
            <w:r>
              <w:rPr>
                <w:rFonts w:ascii="Arial" w:hAnsi="Arial"/>
                <w:b/>
              </w:rPr>
              <w:t>:</w:t>
            </w:r>
          </w:p>
        </w:tc>
        <w:tc>
          <w:tcPr>
            <w:tcW w:w="6280" w:type="dxa"/>
            <w:vAlign w:val="center"/>
          </w:tcPr>
          <w:p w:rsidR="00000000" w:rsidRDefault="00BC67ED">
            <w:pPr>
              <w:pStyle w:val="Textoindependiente"/>
              <w:jc w:val="left"/>
              <w:rPr>
                <w:rFonts w:ascii="Arial" w:hAnsi="Arial"/>
                <w:b/>
              </w:rPr>
            </w:pPr>
            <w:r>
              <w:rPr>
                <w:rFonts w:ascii="Arial" w:hAnsi="Arial"/>
                <w:b/>
              </w:rPr>
              <w:sym w:font="Symbol" w:char="F0F9"/>
            </w:r>
            <w:r>
              <w:rPr>
                <w:rFonts w:ascii="Arial" w:hAnsi="Arial"/>
                <w:b/>
              </w:rPr>
              <w:t xml:space="preserve"> H</w:t>
            </w:r>
            <w:r>
              <w:rPr>
                <w:rFonts w:ascii="Arial" w:hAnsi="Arial"/>
                <w:b/>
                <w:vertAlign w:val="subscript"/>
              </w:rPr>
              <w:t>0</w:t>
            </w:r>
          </w:p>
        </w:tc>
      </w:tr>
    </w:tbl>
    <w:p w:rsidR="00000000" w:rsidRDefault="00BC67ED">
      <w:pPr>
        <w:pStyle w:val="Textoindependiente"/>
        <w:ind w:left="1329"/>
        <w:rPr>
          <w:rFonts w:ascii="Arial" w:hAnsi="Arial"/>
          <w:b/>
        </w:rPr>
      </w:pPr>
    </w:p>
    <w:p w:rsidR="00000000" w:rsidRDefault="00BC67ED">
      <w:pPr>
        <w:pStyle w:val="Textoindependiente"/>
        <w:ind w:left="1329"/>
        <w:rPr>
          <w:rFonts w:ascii="Arial" w:hAnsi="Arial"/>
          <w:b/>
        </w:rPr>
      </w:pPr>
    </w:p>
    <w:p w:rsidR="00000000" w:rsidRDefault="00BC67ED">
      <w:pPr>
        <w:autoSpaceDE w:val="0"/>
        <w:autoSpaceDN w:val="0"/>
        <w:adjustRightInd w:val="0"/>
        <w:ind w:left="1044"/>
        <w:jc w:val="center"/>
        <w:rPr>
          <w:rFonts w:ascii="Courier New" w:hAnsi="Courier New" w:cs="Courier New"/>
          <w:sz w:val="18"/>
          <w:szCs w:val="18"/>
        </w:rPr>
      </w:pPr>
      <w:r>
        <w:rPr>
          <w:rFonts w:ascii="Arial" w:hAnsi="Arial" w:cs="Arial"/>
          <w:position w:val="-32"/>
          <w:sz w:val="20"/>
          <w:szCs w:val="20"/>
        </w:rPr>
        <w:object w:dxaOrig="2920" w:dyaOrig="780">
          <v:shape id="_x0000_i1164" type="#_x0000_t75" style="width:157.8pt;height:46.65pt" o:ole="">
            <v:imagedata r:id="rId313" o:title=""/>
          </v:shape>
          <o:OLEObject Type="Embed" ProgID="Equation.3" ShapeID="_x0000_i1164" DrawAspect="Content" ObjectID="_1307787484" r:id="rId314"/>
        </w:object>
      </w:r>
    </w:p>
    <w:p w:rsidR="00000000" w:rsidRDefault="00BC67ED">
      <w:pPr>
        <w:spacing w:line="360" w:lineRule="auto"/>
        <w:ind w:left="1044"/>
        <w:jc w:val="both"/>
        <w:rPr>
          <w:rFonts w:ascii="Arial" w:hAnsi="Arial" w:cs="Arial"/>
          <w:sz w:val="20"/>
          <w:szCs w:val="20"/>
        </w:rPr>
      </w:pPr>
    </w:p>
    <w:p w:rsidR="00000000" w:rsidRDefault="00BC67ED">
      <w:pPr>
        <w:spacing w:line="360" w:lineRule="auto"/>
        <w:ind w:left="1044"/>
        <w:jc w:val="center"/>
        <w:rPr>
          <w:rFonts w:ascii="Arial" w:hAnsi="Arial" w:cs="Arial"/>
          <w:sz w:val="20"/>
          <w:szCs w:val="20"/>
        </w:rPr>
      </w:pPr>
      <w:r>
        <w:rPr>
          <w:rFonts w:ascii="Arial" w:hAnsi="Arial" w:cs="Arial"/>
          <w:position w:val="-6"/>
          <w:sz w:val="20"/>
          <w:szCs w:val="20"/>
        </w:rPr>
        <w:object w:dxaOrig="440" w:dyaOrig="220">
          <v:shape id="_x0000_i1165" type="#_x0000_t75" style="width:21.9pt;height:10.95pt" o:ole="">
            <v:imagedata r:id="rId268" o:title=""/>
          </v:shape>
          <o:OLEObject Type="Embed" ProgID="Equation.3" ShapeID="_x0000_i1165" DrawAspect="Content" ObjectID="_1307787485" r:id="rId315"/>
        </w:object>
      </w:r>
      <w:r>
        <w:rPr>
          <w:rFonts w:ascii="Arial" w:hAnsi="Arial" w:cs="Arial"/>
          <w:b/>
          <w:i/>
          <w:sz w:val="20"/>
          <w:szCs w:val="20"/>
        </w:rPr>
        <w:t>0.01</w:t>
      </w:r>
    </w:p>
    <w:p w:rsidR="00000000" w:rsidRDefault="00BC67ED">
      <w:pPr>
        <w:spacing w:line="360" w:lineRule="auto"/>
        <w:ind w:left="1044"/>
        <w:jc w:val="center"/>
        <w:rPr>
          <w:rFonts w:ascii="Arial" w:hAnsi="Arial" w:cs="Arial"/>
          <w:sz w:val="20"/>
          <w:szCs w:val="20"/>
        </w:rPr>
      </w:pPr>
      <w:r>
        <w:rPr>
          <w:rFonts w:ascii="Arial" w:hAnsi="Arial" w:cs="Arial"/>
          <w:position w:val="-14"/>
          <w:sz w:val="20"/>
          <w:szCs w:val="20"/>
        </w:rPr>
        <w:object w:dxaOrig="3040" w:dyaOrig="400">
          <v:shape id="_x0000_i1166" type="#_x0000_t75" style="width:3in;height:28.8pt" o:ole="">
            <v:imagedata r:id="rId297" o:title=""/>
          </v:shape>
          <o:OLEObject Type="Embed" ProgID="Equation.3" ShapeID="_x0000_i1166" DrawAspect="Content" ObjectID="_1307787486" r:id="rId316"/>
        </w:object>
      </w:r>
    </w:p>
    <w:p w:rsidR="00000000" w:rsidRDefault="00BC67ED">
      <w:pPr>
        <w:spacing w:line="480" w:lineRule="auto"/>
        <w:ind w:left="1044"/>
        <w:jc w:val="both"/>
        <w:rPr>
          <w:rFonts w:ascii="Arial" w:hAnsi="Arial" w:cs="Arial"/>
        </w:rPr>
      </w:pPr>
      <w:r>
        <w:rPr>
          <w:rFonts w:ascii="Arial" w:hAnsi="Arial" w:cs="Arial"/>
        </w:rPr>
        <w:t>Para este caso,</w:t>
      </w:r>
      <w:r>
        <w:rPr>
          <w:rFonts w:ascii="Arial" w:hAnsi="Arial" w:cs="Arial"/>
          <w:position w:val="-14"/>
          <w:sz w:val="20"/>
          <w:szCs w:val="20"/>
        </w:rPr>
        <w:object w:dxaOrig="1500" w:dyaOrig="400">
          <v:shape id="_x0000_i1167" type="#_x0000_t75" style="width:106.55pt;height:28.8pt" o:ole="">
            <v:imagedata r:id="rId317" o:title=""/>
          </v:shape>
          <o:OLEObject Type="Embed" ProgID="Equation.3" ShapeID="_x0000_i1167" DrawAspect="Content" ObjectID="_1307787487" r:id="rId318"/>
        </w:object>
      </w:r>
      <w:r>
        <w:rPr>
          <w:rFonts w:ascii="Arial" w:hAnsi="Arial" w:cs="Arial"/>
          <w:sz w:val="20"/>
          <w:szCs w:val="20"/>
        </w:rPr>
        <w:t>,</w:t>
      </w:r>
      <w:r>
        <w:rPr>
          <w:rFonts w:ascii="Arial" w:hAnsi="Arial" w:cs="Arial"/>
        </w:rPr>
        <w:t xml:space="preserve"> podemos concluir que no existe suficiente evidenci</w:t>
      </w:r>
      <w:r>
        <w:rPr>
          <w:rFonts w:ascii="Arial" w:hAnsi="Arial" w:cs="Arial"/>
        </w:rPr>
        <w:t>a estadística para rechazar H</w:t>
      </w:r>
      <w:r>
        <w:rPr>
          <w:rFonts w:ascii="Arial" w:hAnsi="Arial" w:cs="Arial"/>
          <w:vertAlign w:val="subscript"/>
        </w:rPr>
        <w:t>o</w:t>
      </w:r>
      <w:r>
        <w:rPr>
          <w:rFonts w:ascii="Arial" w:hAnsi="Arial" w:cs="Arial"/>
        </w:rPr>
        <w:t xml:space="preserve"> en favor de H</w:t>
      </w:r>
      <w:r>
        <w:rPr>
          <w:rFonts w:ascii="Arial" w:hAnsi="Arial" w:cs="Arial"/>
          <w:vertAlign w:val="subscript"/>
        </w:rPr>
        <w:t>1</w:t>
      </w:r>
      <w:r>
        <w:rPr>
          <w:rFonts w:ascii="Arial" w:hAnsi="Arial" w:cs="Arial"/>
        </w:rPr>
        <w:t xml:space="preserve">, es decir que las variables son Independientes. </w:t>
      </w: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spacing w:line="480" w:lineRule="auto"/>
        <w:ind w:left="1416"/>
        <w:jc w:val="center"/>
        <w:rPr>
          <w:rFonts w:ascii="Arial" w:hAnsi="Arial" w:cs="Arial"/>
          <w:b/>
        </w:rPr>
        <w:sectPr w:rsidR="00000000">
          <w:headerReference w:type="first" r:id="rId319"/>
          <w:pgSz w:w="11907" w:h="16840" w:code="9"/>
          <w:pgMar w:top="2268" w:right="1361" w:bottom="2268" w:left="2268" w:header="737" w:footer="851" w:gutter="0"/>
          <w:pgNumType w:start="85"/>
          <w:cols w:space="708"/>
          <w:titlePg/>
          <w:docGrid w:linePitch="360"/>
        </w:sect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1416"/>
        <w:jc w:val="center"/>
        <w:rPr>
          <w:rFonts w:ascii="Arial" w:hAnsi="Arial" w:cs="Arial"/>
          <w:b/>
        </w:rPr>
      </w:pPr>
    </w:p>
    <w:p w:rsidR="00000000" w:rsidRDefault="00BC67ED">
      <w:pPr>
        <w:ind w:left="902"/>
        <w:jc w:val="center"/>
        <w:rPr>
          <w:b/>
          <w:spacing w:val="20"/>
          <w:sz w:val="48"/>
          <w:szCs w:val="48"/>
        </w:rPr>
      </w:pPr>
      <w:r>
        <w:rPr>
          <w:b/>
          <w:spacing w:val="20"/>
          <w:sz w:val="48"/>
          <w:szCs w:val="48"/>
        </w:rPr>
        <w:t>CAPITULO IV</w:t>
      </w:r>
    </w:p>
    <w:p w:rsidR="00000000" w:rsidRDefault="00BC67ED">
      <w:pPr>
        <w:ind w:left="902"/>
        <w:jc w:val="both"/>
        <w:rPr>
          <w:rFonts w:ascii="Arial" w:hAnsi="Arial" w:cs="Arial"/>
          <w:b/>
        </w:rPr>
      </w:pPr>
    </w:p>
    <w:p w:rsidR="00000000" w:rsidRDefault="00BC67ED">
      <w:pPr>
        <w:ind w:left="902"/>
        <w:jc w:val="both"/>
        <w:rPr>
          <w:rFonts w:ascii="Arial" w:hAnsi="Arial" w:cs="Arial"/>
          <w:b/>
        </w:rPr>
      </w:pPr>
    </w:p>
    <w:p w:rsidR="00000000" w:rsidRDefault="00BC67ED">
      <w:pPr>
        <w:ind w:left="902"/>
        <w:jc w:val="both"/>
        <w:rPr>
          <w:rFonts w:ascii="Arial" w:hAnsi="Arial" w:cs="Arial"/>
          <w:b/>
        </w:rPr>
      </w:pPr>
    </w:p>
    <w:p w:rsidR="00000000" w:rsidRDefault="00BC67ED">
      <w:pPr>
        <w:ind w:left="902"/>
        <w:jc w:val="both"/>
        <w:rPr>
          <w:rFonts w:ascii="Arial" w:hAnsi="Arial" w:cs="Arial"/>
          <w:b/>
        </w:rPr>
      </w:pPr>
    </w:p>
    <w:p w:rsidR="00000000" w:rsidRDefault="00BC67ED">
      <w:pPr>
        <w:ind w:left="902"/>
        <w:jc w:val="both"/>
        <w:rPr>
          <w:rFonts w:ascii="Arial" w:hAnsi="Arial" w:cs="Arial"/>
          <w:b/>
        </w:rPr>
      </w:pPr>
    </w:p>
    <w:p w:rsidR="00000000" w:rsidRDefault="00BC67ED">
      <w:pPr>
        <w:ind w:left="902"/>
        <w:jc w:val="both"/>
        <w:rPr>
          <w:rFonts w:ascii="Arial" w:hAnsi="Arial" w:cs="Arial"/>
          <w:b/>
        </w:rPr>
      </w:pPr>
    </w:p>
    <w:p w:rsidR="00000000" w:rsidRDefault="00BC67ED" w:rsidP="00BC67ED">
      <w:pPr>
        <w:numPr>
          <w:ilvl w:val="0"/>
          <w:numId w:val="34"/>
        </w:numPr>
        <w:tabs>
          <w:tab w:val="clear" w:pos="360"/>
          <w:tab w:val="num" w:pos="720"/>
        </w:tabs>
        <w:ind w:left="720" w:hanging="720"/>
        <w:jc w:val="both"/>
        <w:rPr>
          <w:b/>
          <w:spacing w:val="20"/>
          <w:sz w:val="32"/>
          <w:szCs w:val="32"/>
        </w:rPr>
      </w:pPr>
      <w:r>
        <w:rPr>
          <w:b/>
          <w:spacing w:val="20"/>
          <w:sz w:val="32"/>
          <w:szCs w:val="32"/>
        </w:rPr>
        <w:t xml:space="preserve">ANALISIS ESTADISTICO </w:t>
      </w:r>
      <w:r>
        <w:rPr>
          <w:b/>
          <w:caps/>
          <w:spacing w:val="20"/>
          <w:sz w:val="32"/>
          <w:szCs w:val="32"/>
        </w:rPr>
        <w:t>Multivariado</w:t>
      </w:r>
    </w:p>
    <w:p w:rsidR="00000000" w:rsidRDefault="00BC67ED">
      <w:pPr>
        <w:ind w:left="708"/>
        <w:jc w:val="both"/>
        <w:rPr>
          <w:rFonts w:ascii="Arial" w:hAnsi="Arial" w:cs="Arial"/>
          <w:b/>
          <w:spacing w:val="20"/>
          <w:sz w:val="32"/>
          <w:szCs w:val="32"/>
        </w:rPr>
      </w:pPr>
    </w:p>
    <w:p w:rsidR="00000000" w:rsidRDefault="00BC67ED" w:rsidP="00BC67ED">
      <w:pPr>
        <w:numPr>
          <w:ilvl w:val="1"/>
          <w:numId w:val="34"/>
        </w:numPr>
        <w:tabs>
          <w:tab w:val="clear" w:pos="1080"/>
          <w:tab w:val="num" w:pos="720"/>
        </w:tabs>
        <w:ind w:hanging="792"/>
        <w:jc w:val="both"/>
        <w:rPr>
          <w:rFonts w:ascii="Arial" w:hAnsi="Arial" w:cs="Arial"/>
          <w:b/>
          <w:spacing w:val="20"/>
        </w:rPr>
      </w:pPr>
      <w:r>
        <w:rPr>
          <w:rFonts w:ascii="Arial" w:hAnsi="Arial" w:cs="Arial"/>
          <w:b/>
          <w:spacing w:val="20"/>
        </w:rPr>
        <w:t>Introducción</w:t>
      </w:r>
    </w:p>
    <w:p w:rsidR="00000000" w:rsidRDefault="00BC67ED">
      <w:pPr>
        <w:ind w:left="1068"/>
        <w:jc w:val="both"/>
        <w:rPr>
          <w:rFonts w:ascii="Arial" w:hAnsi="Arial" w:cs="Arial"/>
          <w:b/>
          <w:spacing w:val="20"/>
        </w:rPr>
      </w:pPr>
    </w:p>
    <w:p w:rsidR="00000000" w:rsidRDefault="00BC67ED">
      <w:pPr>
        <w:spacing w:line="480" w:lineRule="auto"/>
        <w:ind w:left="708"/>
        <w:jc w:val="both"/>
        <w:rPr>
          <w:rFonts w:ascii="Arial" w:hAnsi="Arial" w:cs="Arial"/>
        </w:rPr>
      </w:pPr>
      <w:r>
        <w:rPr>
          <w:rFonts w:ascii="Arial" w:hAnsi="Arial" w:cs="Arial"/>
        </w:rPr>
        <w:t>En este capitulo presentamos el análisis estadístico Multivariado, para e</w:t>
      </w:r>
      <w:r>
        <w:rPr>
          <w:rFonts w:ascii="Arial" w:hAnsi="Arial" w:cs="Arial"/>
        </w:rPr>
        <w:t xml:space="preserve">llo empleamos la técnica de reducción de datos, denominada </w:t>
      </w:r>
      <w:r>
        <w:rPr>
          <w:rFonts w:ascii="Arial" w:hAnsi="Arial" w:cs="Arial"/>
          <w:i/>
        </w:rPr>
        <w:t>componentes principales</w:t>
      </w:r>
      <w:r>
        <w:rPr>
          <w:rFonts w:ascii="Arial" w:hAnsi="Arial" w:cs="Arial"/>
        </w:rPr>
        <w:t xml:space="preserve">. Este método consiste en generar variables artificiales e términos o a partir de las variables aleatorias originales. Para lo cual podemos utilizar la matriz de varianzas y </w:t>
      </w:r>
      <w:r>
        <w:rPr>
          <w:rFonts w:ascii="Arial" w:hAnsi="Arial" w:cs="Arial"/>
        </w:rPr>
        <w:t xml:space="preserve">covarianzas (denotada por </w:t>
      </w:r>
      <w:r>
        <w:rPr>
          <w:rFonts w:ascii="Arial" w:hAnsi="Arial" w:cs="Arial"/>
          <w:position w:val="-8"/>
        </w:rPr>
        <w:object w:dxaOrig="260" w:dyaOrig="300">
          <v:shape id="_x0000_i1168" type="#_x0000_t75" style="width:13.25pt;height:15pt" o:ole="">
            <v:imagedata r:id="rId320" o:title=""/>
          </v:shape>
          <o:OLEObject Type="Embed" ProgID="Equation.3" ShapeID="_x0000_i1168" DrawAspect="Content" ObjectID="_1307787488" r:id="rId321"/>
        </w:object>
      </w:r>
      <w:r>
        <w:rPr>
          <w:rFonts w:ascii="Arial" w:hAnsi="Arial" w:cs="Arial"/>
        </w:rPr>
        <w:t xml:space="preserve">) o la matriz de correlación  (denotada por </w:t>
      </w:r>
      <w:r>
        <w:rPr>
          <w:rFonts w:ascii="Arial" w:hAnsi="Arial" w:cs="Arial"/>
          <w:position w:val="-10"/>
        </w:rPr>
        <w:object w:dxaOrig="240" w:dyaOrig="260">
          <v:shape id="_x0000_i1169" type="#_x0000_t75" style="width:12.1pt;height:13.25pt" o:ole="">
            <v:imagedata r:id="rId322" o:title=""/>
          </v:shape>
          <o:OLEObject Type="Embed" ProgID="Equation.3" ShapeID="_x0000_i1169" DrawAspect="Content" ObjectID="_1307787489" r:id="rId323"/>
        </w:object>
      </w:r>
      <w:r>
        <w:rPr>
          <w:rFonts w:ascii="Arial" w:hAnsi="Arial" w:cs="Arial"/>
        </w:rPr>
        <w:t>) de los datos observados. La Matriz de correlación será la matriz de varianzas y covarianzas de los datos estandarizados.</w:t>
      </w:r>
    </w:p>
    <w:p w:rsidR="00000000" w:rsidRDefault="00BC67ED">
      <w:pPr>
        <w:spacing w:line="480" w:lineRule="auto"/>
        <w:ind w:left="708"/>
        <w:jc w:val="both"/>
        <w:rPr>
          <w:rFonts w:ascii="Arial" w:hAnsi="Arial" w:cs="Arial"/>
        </w:rPr>
      </w:pPr>
      <w:r>
        <w:rPr>
          <w:rFonts w:ascii="Arial" w:hAnsi="Arial" w:cs="Arial"/>
        </w:rPr>
        <w:t>En esta sección s</w:t>
      </w:r>
      <w:r>
        <w:rPr>
          <w:rFonts w:ascii="Arial" w:hAnsi="Arial" w:cs="Arial"/>
        </w:rPr>
        <w:t>e analizan las características de orden personal de los pacientes de SOLCA en la ciudad de Guayaquil desde al año 2000 al año 2004, que presentan signos peligrosos de cáncer de esófago.</w:t>
      </w:r>
    </w:p>
    <w:p w:rsidR="00000000" w:rsidRDefault="00BC67ED">
      <w:pPr>
        <w:spacing w:line="480" w:lineRule="auto"/>
        <w:ind w:left="708"/>
        <w:jc w:val="both"/>
        <w:rPr>
          <w:rFonts w:ascii="Arial" w:hAnsi="Arial" w:cs="Arial"/>
        </w:rPr>
        <w:sectPr w:rsidR="00000000">
          <w:headerReference w:type="first" r:id="rId324"/>
          <w:pgSz w:w="11907" w:h="16840" w:code="9"/>
          <w:pgMar w:top="2268" w:right="1361" w:bottom="2268" w:left="2268" w:header="737" w:footer="851" w:gutter="0"/>
          <w:cols w:space="708"/>
          <w:titlePg/>
          <w:docGrid w:linePitch="360"/>
        </w:sectPr>
      </w:pPr>
    </w:p>
    <w:p w:rsidR="00000000" w:rsidRDefault="00BC67ED">
      <w:pPr>
        <w:spacing w:line="480" w:lineRule="auto"/>
        <w:ind w:left="708"/>
        <w:jc w:val="both"/>
        <w:rPr>
          <w:rFonts w:ascii="Arial" w:hAnsi="Arial" w:cs="Arial"/>
        </w:rPr>
      </w:pPr>
      <w:r>
        <w:rPr>
          <w:rFonts w:ascii="Arial" w:hAnsi="Arial" w:cs="Arial"/>
        </w:rPr>
        <w:lastRenderedPageBreak/>
        <w:t>Para realizar el análisis estadístico Multivariado nos ayudamos del p</w:t>
      </w:r>
      <w:r>
        <w:rPr>
          <w:rFonts w:ascii="Arial" w:hAnsi="Arial" w:cs="Arial"/>
        </w:rPr>
        <w:t>aquete estadístico MINITAB 13.0 para Windows y del NCSS 2000 para Windows.</w:t>
      </w:r>
    </w:p>
    <w:p w:rsidR="00000000" w:rsidRDefault="00BC67ED">
      <w:pPr>
        <w:spacing w:line="480" w:lineRule="auto"/>
        <w:ind w:left="708"/>
        <w:jc w:val="both"/>
        <w:rPr>
          <w:rFonts w:ascii="Arial" w:hAnsi="Arial" w:cs="Arial"/>
        </w:rPr>
      </w:pPr>
      <w:r>
        <w:rPr>
          <w:rFonts w:ascii="Arial" w:hAnsi="Arial" w:cs="Arial"/>
        </w:rPr>
        <w:t>Valiéndonos de estos paquetes estadísticos obtendremos n primer lugar la matriz de varianzas y covarianzas o la de correlación, posteriormente utilizamos el método de reducción de d</w:t>
      </w:r>
      <w:r>
        <w:rPr>
          <w:rFonts w:ascii="Arial" w:hAnsi="Arial" w:cs="Arial"/>
        </w:rPr>
        <w:t>atos.</w:t>
      </w:r>
    </w:p>
    <w:p w:rsidR="00000000" w:rsidRDefault="00BC67ED">
      <w:pPr>
        <w:spacing w:line="480" w:lineRule="auto"/>
        <w:ind w:left="708"/>
        <w:jc w:val="both"/>
        <w:rPr>
          <w:rFonts w:ascii="Arial" w:hAnsi="Arial" w:cs="Arial"/>
        </w:rPr>
      </w:pPr>
      <w:r>
        <w:rPr>
          <w:rFonts w:ascii="Arial" w:hAnsi="Arial" w:cs="Arial"/>
        </w:rPr>
        <w:t>Para generar las componentes principales emplearemos solamente algunas de variables observadas.</w:t>
      </w:r>
    </w:p>
    <w:p w:rsidR="00000000" w:rsidRDefault="00BC67ED">
      <w:pPr>
        <w:spacing w:line="480" w:lineRule="auto"/>
        <w:ind w:left="708"/>
        <w:jc w:val="both"/>
        <w:rPr>
          <w:rFonts w:ascii="Arial" w:hAnsi="Arial" w:cs="Arial"/>
        </w:rPr>
      </w:pPr>
      <w:r>
        <w:rPr>
          <w:rFonts w:ascii="Arial" w:hAnsi="Arial" w:cs="Arial"/>
        </w:rPr>
        <w:t>Consideramos que las variables en las que debemos basar nuestra investigación son:</w:t>
      </w:r>
    </w:p>
    <w:p w:rsidR="00000000" w:rsidRDefault="00BC67ED">
      <w:pPr>
        <w:spacing w:line="480" w:lineRule="auto"/>
        <w:ind w:left="708"/>
        <w:jc w:val="both"/>
        <w:rPr>
          <w:rFonts w:ascii="Arial" w:hAnsi="Arial" w:cs="Arial"/>
        </w:rPr>
      </w:pPr>
      <w:r>
        <w:rPr>
          <w:rFonts w:ascii="Arial" w:hAnsi="Arial" w:cs="Arial"/>
        </w:rPr>
        <w:t>Para determinar el numero óptimo de componentes principales que debemos</w:t>
      </w:r>
      <w:r>
        <w:rPr>
          <w:rFonts w:ascii="Arial" w:hAnsi="Arial" w:cs="Arial"/>
        </w:rPr>
        <w:t xml:space="preserve"> tener </w:t>
      </w:r>
    </w:p>
    <w:p w:rsidR="00000000" w:rsidRDefault="00BC67ED">
      <w:pPr>
        <w:ind w:left="708"/>
        <w:jc w:val="both"/>
        <w:rPr>
          <w:rFonts w:ascii="Arial" w:hAnsi="Arial" w:cs="Arial"/>
        </w:rPr>
      </w:pPr>
    </w:p>
    <w:p w:rsidR="00000000" w:rsidRDefault="00BC67ED">
      <w:pPr>
        <w:ind w:left="708"/>
        <w:jc w:val="both"/>
        <w:rPr>
          <w:rFonts w:ascii="Arial" w:hAnsi="Arial" w:cs="Arial"/>
        </w:rPr>
      </w:pPr>
    </w:p>
    <w:p w:rsidR="00000000" w:rsidRDefault="00BC67ED" w:rsidP="00BC67ED">
      <w:pPr>
        <w:numPr>
          <w:ilvl w:val="1"/>
          <w:numId w:val="34"/>
        </w:numPr>
        <w:tabs>
          <w:tab w:val="clear" w:pos="1080"/>
          <w:tab w:val="num" w:pos="-12"/>
          <w:tab w:val="num" w:pos="720"/>
        </w:tabs>
        <w:spacing w:line="480" w:lineRule="auto"/>
        <w:ind w:left="708" w:hanging="720"/>
        <w:jc w:val="both"/>
        <w:rPr>
          <w:rFonts w:ascii="Arial" w:hAnsi="Arial" w:cs="Arial"/>
          <w:b/>
          <w:spacing w:val="20"/>
        </w:rPr>
      </w:pPr>
      <w:r>
        <w:rPr>
          <w:rFonts w:ascii="Arial" w:hAnsi="Arial" w:cs="Arial"/>
          <w:b/>
          <w:spacing w:val="20"/>
        </w:rPr>
        <w:t>Análisis estadístico multivariado de las variables observadas para el cáncer de esófago.</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La tabla XXXIII, contiene valores propios de la matriz de varianzas y covarianzas, de los datos originales, estos valores representan la varianza de las com</w:t>
      </w:r>
      <w:r>
        <w:rPr>
          <w:rFonts w:ascii="Arial" w:hAnsi="Arial" w:cs="Arial"/>
          <w:spacing w:val="20"/>
        </w:rPr>
        <w:t>ponentes principales.</w:t>
      </w:r>
    </w:p>
    <w:p w:rsidR="00000000" w:rsidRDefault="00BC67ED">
      <w:pPr>
        <w:spacing w:line="480" w:lineRule="auto"/>
        <w:ind w:left="708"/>
        <w:jc w:val="both"/>
        <w:rPr>
          <w:rFonts w:ascii="Arial" w:hAnsi="Arial" w:cs="Arial"/>
          <w:spacing w:val="20"/>
        </w:rPr>
      </w:pPr>
      <w:r>
        <w:rPr>
          <w:rFonts w:ascii="Arial" w:hAnsi="Arial" w:cs="Arial"/>
          <w:spacing w:val="20"/>
        </w:rPr>
        <w:lastRenderedPageBreak/>
        <w:t>También consta el porcentaje de explicación que le corresponde a las componentes principales. Adicionalmente encontramos el total del porcentaje de explicación.</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 xml:space="preserve">Notamos que la primera componente tiene 96.4% del total de varianza, lo </w:t>
      </w:r>
      <w:r>
        <w:rPr>
          <w:rFonts w:ascii="Arial" w:hAnsi="Arial" w:cs="Arial"/>
          <w:spacing w:val="20"/>
        </w:rPr>
        <w:t>que nos indica que al utilizar la primera componente obtendremos el 96.4% del total de la información.</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La segunda componente principal nos proporciona el 1.6% de la información total. Al considerar la primera y segunda componente, para nuestra investigaci</w:t>
      </w:r>
      <w:r>
        <w:rPr>
          <w:rFonts w:ascii="Arial" w:hAnsi="Arial" w:cs="Arial"/>
          <w:spacing w:val="20"/>
        </w:rPr>
        <w:t>ón, obtenemos 98% de la información total.</w:t>
      </w:r>
    </w:p>
    <w:p w:rsidR="00000000" w:rsidRDefault="00BC67ED">
      <w:pPr>
        <w:spacing w:line="480" w:lineRule="auto"/>
        <w:ind w:left="708"/>
        <w:jc w:val="center"/>
        <w:rPr>
          <w:rFonts w:ascii="Arial" w:hAnsi="Arial" w:cs="Arial"/>
          <w:b/>
          <w:caps/>
        </w:rPr>
      </w:pPr>
    </w:p>
    <w:p w:rsidR="00000000" w:rsidRDefault="00BC67ED">
      <w:pPr>
        <w:spacing w:line="480" w:lineRule="auto"/>
        <w:ind w:left="708"/>
        <w:jc w:val="center"/>
        <w:rPr>
          <w:rFonts w:ascii="Arial" w:hAnsi="Arial" w:cs="Arial"/>
          <w:spacing w:val="20"/>
        </w:rPr>
      </w:pPr>
      <w:r>
        <w:rPr>
          <w:rFonts w:ascii="Arial" w:hAnsi="Arial" w:cs="Arial"/>
          <w:b/>
          <w:caps/>
        </w:rPr>
        <w:t>Tabla XXXIII</w:t>
      </w:r>
    </w:p>
    <w:p w:rsidR="00000000" w:rsidRDefault="00BC67ED">
      <w:pPr>
        <w:spacing w:line="360" w:lineRule="auto"/>
        <w:ind w:left="708"/>
        <w:jc w:val="center"/>
        <w:rPr>
          <w:rFonts w:ascii="Arial" w:hAnsi="Arial" w:cs="Arial"/>
          <w:b/>
          <w:caps/>
        </w:rPr>
      </w:pPr>
      <w:r>
        <w:rPr>
          <w:rFonts w:ascii="Arial" w:hAnsi="Arial" w:cs="Arial"/>
          <w:b/>
          <w:caps/>
        </w:rPr>
        <w:t>Variabilidad de Explicación de las componentes Utilizando la Matriz de Varianzas y Covarianzas.</w:t>
      </w:r>
    </w:p>
    <w:tbl>
      <w:tblPr>
        <w:tblpPr w:leftFromText="141" w:rightFromText="141" w:vertAnchor="text" w:horzAnchor="page" w:tblpX="4321" w:tblpY="452"/>
        <w:tblW w:w="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953"/>
        <w:gridCol w:w="823"/>
        <w:gridCol w:w="824"/>
        <w:gridCol w:w="824"/>
      </w:tblGrid>
      <w:tr w:rsidR="00000000">
        <w:tc>
          <w:tcPr>
            <w:tcW w:w="1523" w:type="dxa"/>
            <w:tcBorders>
              <w:bottom w:val="single" w:sz="4" w:space="0" w:color="auto"/>
              <w:right w:val="single" w:sz="4" w:space="0" w:color="auto"/>
            </w:tcBorders>
          </w:tcPr>
          <w:p w:rsidR="00000000" w:rsidRDefault="00BC67ED">
            <w:pPr>
              <w:autoSpaceDE w:val="0"/>
              <w:autoSpaceDN w:val="0"/>
              <w:adjustRightInd w:val="0"/>
              <w:rPr>
                <w:rFonts w:ascii="Arial" w:hAnsi="Arial" w:cs="Arial"/>
              </w:rPr>
            </w:pPr>
          </w:p>
        </w:tc>
        <w:tc>
          <w:tcPr>
            <w:tcW w:w="953" w:type="dxa"/>
            <w:tcBorders>
              <w:left w:val="single" w:sz="4" w:space="0" w:color="auto"/>
              <w:bottom w:val="single" w:sz="4" w:space="0" w:color="auto"/>
            </w:tcBorders>
            <w:shd w:val="pct25" w:color="auto" w:fill="auto"/>
          </w:tcPr>
          <w:p w:rsidR="00000000" w:rsidRDefault="00BC67ED">
            <w:pPr>
              <w:autoSpaceDE w:val="0"/>
              <w:autoSpaceDN w:val="0"/>
              <w:adjustRightInd w:val="0"/>
              <w:jc w:val="center"/>
              <w:rPr>
                <w:rFonts w:ascii="Arial" w:hAnsi="Arial" w:cs="Arial"/>
                <w:b/>
                <w:bCs/>
                <w:lang w:val="en-US"/>
              </w:rPr>
            </w:pPr>
            <w:r>
              <w:rPr>
                <w:rFonts w:ascii="Arial" w:hAnsi="Arial" w:cs="Arial"/>
                <w:b/>
                <w:bCs/>
                <w:position w:val="-10"/>
                <w:lang w:val="en-US"/>
              </w:rPr>
              <w:object w:dxaOrig="260" w:dyaOrig="340">
                <v:shape id="_x0000_i1170" type="#_x0000_t75" style="width:21.3pt;height:17.3pt" o:ole="">
                  <v:imagedata r:id="rId325" o:title=""/>
                </v:shape>
                <o:OLEObject Type="Embed" ProgID="Equation.3" ShapeID="_x0000_i1170" DrawAspect="Content" ObjectID="_1307787490" r:id="rId326"/>
              </w:object>
            </w:r>
          </w:p>
        </w:tc>
        <w:tc>
          <w:tcPr>
            <w:tcW w:w="823"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0"/>
                <w:lang w:val="en-US"/>
              </w:rPr>
              <w:object w:dxaOrig="279" w:dyaOrig="340">
                <v:shape id="_x0000_i1171" type="#_x0000_t75" style="width:13.8pt;height:17.3pt" o:ole="">
                  <v:imagedata r:id="rId327" o:title=""/>
                </v:shape>
                <o:OLEObject Type="Embed" ProgID="Equation.3" ShapeID="_x0000_i1171" DrawAspect="Content" ObjectID="_1307787491" r:id="rId328"/>
              </w:object>
            </w:r>
          </w:p>
        </w:tc>
        <w:tc>
          <w:tcPr>
            <w:tcW w:w="824"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2"/>
                <w:lang w:val="en-US"/>
              </w:rPr>
              <w:object w:dxaOrig="279" w:dyaOrig="360">
                <v:shape id="_x0000_i1172" type="#_x0000_t75" style="width:13.8pt;height:17.85pt" o:ole="">
                  <v:imagedata r:id="rId329" o:title=""/>
                </v:shape>
                <o:OLEObject Type="Embed" ProgID="Equation.3" ShapeID="_x0000_i1172" DrawAspect="Content" ObjectID="_1307787492" r:id="rId330"/>
              </w:object>
            </w:r>
          </w:p>
        </w:tc>
        <w:tc>
          <w:tcPr>
            <w:tcW w:w="824"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0"/>
                <w:lang w:val="en-US"/>
              </w:rPr>
              <w:object w:dxaOrig="279" w:dyaOrig="340">
                <v:shape id="_x0000_i1173" type="#_x0000_t75" style="width:13.8pt;height:17.3pt" o:ole="">
                  <v:imagedata r:id="rId331" o:title=""/>
                </v:shape>
                <o:OLEObject Type="Embed" ProgID="Equation.3" ShapeID="_x0000_i1173" DrawAspect="Content" ObjectID="_1307787493" r:id="rId332"/>
              </w:object>
            </w:r>
          </w:p>
        </w:tc>
      </w:tr>
      <w:tr w:rsidR="00000000">
        <w:tc>
          <w:tcPr>
            <w:tcW w:w="1523" w:type="dxa"/>
            <w:tcBorders>
              <w:top w:val="single" w:sz="4" w:space="0" w:color="auto"/>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Eigen</w:t>
            </w:r>
            <w:r>
              <w:rPr>
                <w:rFonts w:ascii="Arial" w:hAnsi="Arial" w:cs="Arial"/>
                <w:b/>
                <w:bCs/>
                <w:i/>
                <w:iCs/>
              </w:rPr>
              <w:t>valor</w:t>
            </w:r>
          </w:p>
        </w:tc>
        <w:tc>
          <w:tcPr>
            <w:tcW w:w="953" w:type="dxa"/>
            <w:tcBorders>
              <w:top w:val="single" w:sz="4" w:space="0" w:color="auto"/>
              <w:left w:val="single" w:sz="4" w:space="0" w:color="auto"/>
            </w:tcBorders>
            <w:shd w:val="pct25" w:color="auto" w:fill="auto"/>
          </w:tcPr>
          <w:p w:rsidR="00000000" w:rsidRDefault="00BC67ED">
            <w:pPr>
              <w:autoSpaceDE w:val="0"/>
              <w:autoSpaceDN w:val="0"/>
              <w:adjustRightInd w:val="0"/>
              <w:rPr>
                <w:rFonts w:ascii="Arial" w:hAnsi="Arial" w:cs="Arial"/>
                <w:b/>
                <w:i/>
                <w:lang w:val="fr-FR"/>
              </w:rPr>
            </w:pPr>
            <w:r>
              <w:rPr>
                <w:rFonts w:ascii="Arial" w:hAnsi="Arial" w:cs="Arial"/>
                <w:b/>
                <w:i/>
                <w:lang w:val="fr-FR"/>
              </w:rPr>
              <w:t>127,10</w:t>
            </w:r>
          </w:p>
        </w:tc>
        <w:tc>
          <w:tcPr>
            <w:tcW w:w="823" w:type="dxa"/>
            <w:tcBorders>
              <w:top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2,15</w:t>
            </w:r>
          </w:p>
        </w:tc>
        <w:tc>
          <w:tcPr>
            <w:tcW w:w="824" w:type="dxa"/>
            <w:tcBorders>
              <w:top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1,56</w:t>
            </w:r>
          </w:p>
        </w:tc>
        <w:tc>
          <w:tcPr>
            <w:tcW w:w="824" w:type="dxa"/>
            <w:tcBorders>
              <w:top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0,83</w:t>
            </w:r>
          </w:p>
        </w:tc>
      </w:tr>
      <w:tr w:rsidR="00000000">
        <w:tc>
          <w:tcPr>
            <w:tcW w:w="1523"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Proporción</w:t>
            </w:r>
          </w:p>
        </w:tc>
        <w:tc>
          <w:tcPr>
            <w:tcW w:w="953" w:type="dxa"/>
            <w:tcBorders>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0,966</w:t>
            </w:r>
          </w:p>
        </w:tc>
        <w:tc>
          <w:tcPr>
            <w:tcW w:w="823" w:type="dxa"/>
          </w:tcPr>
          <w:p w:rsidR="00000000" w:rsidRDefault="00BC67ED">
            <w:pPr>
              <w:autoSpaceDE w:val="0"/>
              <w:autoSpaceDN w:val="0"/>
              <w:adjustRightInd w:val="0"/>
              <w:rPr>
                <w:rFonts w:ascii="Arial" w:hAnsi="Arial" w:cs="Arial"/>
                <w:i/>
                <w:lang w:val="fr-FR"/>
              </w:rPr>
            </w:pPr>
            <w:r>
              <w:rPr>
                <w:rFonts w:ascii="Arial" w:hAnsi="Arial" w:cs="Arial"/>
                <w:i/>
                <w:lang w:val="fr-FR"/>
              </w:rPr>
              <w:t>0,016</w:t>
            </w:r>
          </w:p>
        </w:tc>
        <w:tc>
          <w:tcPr>
            <w:tcW w:w="824" w:type="dxa"/>
          </w:tcPr>
          <w:p w:rsidR="00000000" w:rsidRDefault="00BC67ED">
            <w:pPr>
              <w:autoSpaceDE w:val="0"/>
              <w:autoSpaceDN w:val="0"/>
              <w:adjustRightInd w:val="0"/>
              <w:rPr>
                <w:rFonts w:ascii="Arial" w:hAnsi="Arial" w:cs="Arial"/>
                <w:i/>
                <w:lang w:val="fr-FR"/>
              </w:rPr>
            </w:pPr>
            <w:r>
              <w:rPr>
                <w:rFonts w:ascii="Arial" w:hAnsi="Arial" w:cs="Arial"/>
                <w:i/>
                <w:lang w:val="fr-FR"/>
              </w:rPr>
              <w:t>0,012</w:t>
            </w:r>
          </w:p>
        </w:tc>
        <w:tc>
          <w:tcPr>
            <w:tcW w:w="824" w:type="dxa"/>
          </w:tcPr>
          <w:p w:rsidR="00000000" w:rsidRDefault="00BC67ED">
            <w:pPr>
              <w:autoSpaceDE w:val="0"/>
              <w:autoSpaceDN w:val="0"/>
              <w:adjustRightInd w:val="0"/>
              <w:rPr>
                <w:rFonts w:ascii="Arial" w:hAnsi="Arial" w:cs="Arial"/>
                <w:i/>
                <w:lang w:val="fr-FR"/>
              </w:rPr>
            </w:pPr>
            <w:r>
              <w:rPr>
                <w:rFonts w:ascii="Arial" w:hAnsi="Arial" w:cs="Arial"/>
                <w:i/>
                <w:lang w:val="fr-FR"/>
              </w:rPr>
              <w:t>0,006</w:t>
            </w:r>
          </w:p>
        </w:tc>
      </w:tr>
      <w:tr w:rsidR="00000000">
        <w:tc>
          <w:tcPr>
            <w:tcW w:w="1523"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Acumulado</w:t>
            </w:r>
          </w:p>
        </w:tc>
        <w:tc>
          <w:tcPr>
            <w:tcW w:w="953" w:type="dxa"/>
            <w:tcBorders>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0,966</w:t>
            </w:r>
          </w:p>
        </w:tc>
        <w:tc>
          <w:tcPr>
            <w:tcW w:w="823" w:type="dxa"/>
          </w:tcPr>
          <w:p w:rsidR="00000000" w:rsidRDefault="00BC67ED">
            <w:pPr>
              <w:autoSpaceDE w:val="0"/>
              <w:autoSpaceDN w:val="0"/>
              <w:adjustRightInd w:val="0"/>
              <w:rPr>
                <w:rFonts w:ascii="Arial" w:hAnsi="Arial" w:cs="Arial"/>
                <w:i/>
                <w:lang w:val="fr-FR"/>
              </w:rPr>
            </w:pPr>
            <w:r>
              <w:rPr>
                <w:rFonts w:ascii="Arial" w:hAnsi="Arial" w:cs="Arial"/>
                <w:i/>
                <w:lang w:val="fr-FR"/>
              </w:rPr>
              <w:t>0,982</w:t>
            </w:r>
          </w:p>
        </w:tc>
        <w:tc>
          <w:tcPr>
            <w:tcW w:w="824" w:type="dxa"/>
          </w:tcPr>
          <w:p w:rsidR="00000000" w:rsidRDefault="00BC67ED">
            <w:pPr>
              <w:autoSpaceDE w:val="0"/>
              <w:autoSpaceDN w:val="0"/>
              <w:adjustRightInd w:val="0"/>
              <w:rPr>
                <w:rFonts w:ascii="Arial" w:hAnsi="Arial" w:cs="Arial"/>
                <w:i/>
                <w:lang w:val="fr-FR"/>
              </w:rPr>
            </w:pPr>
            <w:r>
              <w:rPr>
                <w:rFonts w:ascii="Arial" w:hAnsi="Arial" w:cs="Arial"/>
                <w:i/>
                <w:lang w:val="fr-FR"/>
              </w:rPr>
              <w:t>0,994</w:t>
            </w:r>
          </w:p>
        </w:tc>
        <w:tc>
          <w:tcPr>
            <w:tcW w:w="824" w:type="dxa"/>
          </w:tcPr>
          <w:p w:rsidR="00000000" w:rsidRDefault="00BC67ED">
            <w:pPr>
              <w:autoSpaceDE w:val="0"/>
              <w:autoSpaceDN w:val="0"/>
              <w:adjustRightInd w:val="0"/>
              <w:rPr>
                <w:rFonts w:ascii="Arial" w:hAnsi="Arial" w:cs="Arial"/>
                <w:i/>
                <w:lang w:val="fr-FR"/>
              </w:rPr>
            </w:pPr>
            <w:r>
              <w:rPr>
                <w:rFonts w:ascii="Arial" w:hAnsi="Arial" w:cs="Arial"/>
                <w:i/>
                <w:lang w:val="fr-FR"/>
              </w:rPr>
              <w:t>1,000</w:t>
            </w:r>
          </w:p>
        </w:tc>
      </w:tr>
    </w:tbl>
    <w:p w:rsidR="00000000" w:rsidRDefault="00BC67ED">
      <w:pPr>
        <w:spacing w:line="480" w:lineRule="auto"/>
        <w:ind w:left="1416"/>
        <w:jc w:val="center"/>
        <w:rPr>
          <w:rFonts w:ascii="Arial" w:hAnsi="Arial" w:cs="Arial"/>
          <w:b/>
          <w:caps/>
        </w:rPr>
      </w:pPr>
    </w:p>
    <w:p w:rsidR="00000000" w:rsidRDefault="00BC67ED">
      <w:pPr>
        <w:spacing w:line="480" w:lineRule="auto"/>
        <w:ind w:left="1416"/>
        <w:jc w:val="center"/>
        <w:rPr>
          <w:rFonts w:ascii="Arial" w:hAnsi="Arial" w:cs="Arial"/>
          <w:b/>
          <w:caps/>
        </w:rPr>
      </w:pPr>
    </w:p>
    <w:p w:rsidR="00000000" w:rsidRDefault="00BC67ED">
      <w:pPr>
        <w:spacing w:line="480" w:lineRule="auto"/>
        <w:ind w:left="1416"/>
        <w:jc w:val="center"/>
        <w:rPr>
          <w:rFonts w:ascii="Arial" w:hAnsi="Arial" w:cs="Arial"/>
          <w:b/>
          <w:caps/>
        </w:rPr>
      </w:pPr>
    </w:p>
    <w:p w:rsidR="00000000" w:rsidRDefault="00BC67ED">
      <w:pPr>
        <w:autoSpaceDE w:val="0"/>
        <w:autoSpaceDN w:val="0"/>
        <w:adjustRightInd w:val="0"/>
        <w:rPr>
          <w:rFonts w:ascii="Courier New" w:hAnsi="Courier New" w:cs="Courier New"/>
          <w:sz w:val="18"/>
          <w:szCs w:val="18"/>
          <w:lang w:val="fr-FR"/>
        </w:rPr>
      </w:pPr>
    </w:p>
    <w:p w:rsidR="00000000" w:rsidRDefault="00BC67ED">
      <w:pPr>
        <w:autoSpaceDE w:val="0"/>
        <w:autoSpaceDN w:val="0"/>
        <w:adjustRightInd w:val="0"/>
        <w:rPr>
          <w:rFonts w:ascii="Courier New" w:hAnsi="Courier New" w:cs="Courier New"/>
          <w:sz w:val="18"/>
          <w:szCs w:val="18"/>
          <w:lang w:val="fr-FR"/>
        </w:rPr>
      </w:pPr>
    </w:p>
    <w:p w:rsidR="00000000" w:rsidRDefault="00BC67ED">
      <w:pPr>
        <w:autoSpaceDE w:val="0"/>
        <w:autoSpaceDN w:val="0"/>
        <w:adjustRightInd w:val="0"/>
        <w:rPr>
          <w:rFonts w:ascii="Courier New" w:hAnsi="Courier New" w:cs="Courier New"/>
          <w:sz w:val="18"/>
          <w:szCs w:val="18"/>
          <w:lang w:val="fr-FR"/>
        </w:rPr>
      </w:pPr>
    </w:p>
    <w:p w:rsidR="00000000" w:rsidRDefault="00BC67ED">
      <w:pPr>
        <w:autoSpaceDE w:val="0"/>
        <w:autoSpaceDN w:val="0"/>
        <w:adjustRightInd w:val="0"/>
        <w:rPr>
          <w:rFonts w:ascii="Courier New" w:hAnsi="Courier New" w:cs="Courier New"/>
          <w:sz w:val="18"/>
          <w:szCs w:val="18"/>
          <w:lang w:val="fr-FR"/>
        </w:rPr>
      </w:pPr>
    </w:p>
    <w:p w:rsidR="00000000" w:rsidRDefault="00BC67ED">
      <w:pPr>
        <w:autoSpaceDE w:val="0"/>
        <w:autoSpaceDN w:val="0"/>
        <w:adjustRightInd w:val="0"/>
        <w:rPr>
          <w:rFonts w:ascii="Courier New" w:hAnsi="Courier New" w:cs="Courier New"/>
          <w:sz w:val="18"/>
          <w:szCs w:val="18"/>
        </w:rPr>
      </w:pPr>
    </w:p>
    <w:p w:rsidR="00000000" w:rsidRDefault="00BC67ED">
      <w:pPr>
        <w:spacing w:line="480" w:lineRule="auto"/>
        <w:ind w:left="1416"/>
        <w:jc w:val="center"/>
        <w:rPr>
          <w:rFonts w:ascii="Arial" w:hAnsi="Arial" w:cs="Arial"/>
          <w:b/>
          <w:caps/>
        </w:rPr>
      </w:pPr>
    </w:p>
    <w:p w:rsidR="00000000" w:rsidRDefault="00BC67ED">
      <w:pPr>
        <w:spacing w:line="480" w:lineRule="auto"/>
        <w:ind w:left="708"/>
        <w:jc w:val="center"/>
        <w:rPr>
          <w:rFonts w:ascii="Arial" w:hAnsi="Arial" w:cs="Arial"/>
          <w:b/>
          <w:caps/>
        </w:rPr>
      </w:pPr>
      <w:r>
        <w:rPr>
          <w:rFonts w:ascii="Arial" w:hAnsi="Arial" w:cs="Arial"/>
          <w:b/>
          <w:caps/>
        </w:rPr>
        <w:lastRenderedPageBreak/>
        <w:t>Matriz de Varianzas y Covarianzas</w:t>
      </w:r>
    </w:p>
    <w:tbl>
      <w:tblPr>
        <w:tblW w:w="629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351"/>
        <w:gridCol w:w="1019"/>
        <w:gridCol w:w="993"/>
        <w:gridCol w:w="1184"/>
      </w:tblGrid>
      <w:tr w:rsidR="00000000">
        <w:tc>
          <w:tcPr>
            <w:tcW w:w="1750"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1351" w:type="dxa"/>
            <w:tcBorders>
              <w:top w:val="single" w:sz="4" w:space="0" w:color="auto"/>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Edad</w:t>
            </w:r>
          </w:p>
        </w:tc>
        <w:tc>
          <w:tcPr>
            <w:tcW w:w="1019"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Tabaco</w:t>
            </w:r>
          </w:p>
        </w:tc>
        <w:tc>
          <w:tcPr>
            <w:tcW w:w="993"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Alcohol</w:t>
            </w:r>
          </w:p>
        </w:tc>
        <w:tc>
          <w:tcPr>
            <w:tcW w:w="1184"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Histología</w:t>
            </w:r>
          </w:p>
        </w:tc>
      </w:tr>
      <w:tr w:rsidR="00000000">
        <w:tc>
          <w:tcPr>
            <w:tcW w:w="1750"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i/>
                <w:sz w:val="20"/>
                <w:szCs w:val="20"/>
              </w:rPr>
            </w:pPr>
            <w:r>
              <w:rPr>
                <w:rFonts w:ascii="Arial" w:hAnsi="Arial" w:cs="Arial"/>
                <w:i/>
                <w:sz w:val="20"/>
                <w:szCs w:val="20"/>
              </w:rPr>
              <w:t>Edad</w:t>
            </w:r>
          </w:p>
        </w:tc>
        <w:tc>
          <w:tcPr>
            <w:tcW w:w="1351" w:type="dxa"/>
            <w:tcBorders>
              <w:top w:val="single" w:sz="4" w:space="0" w:color="auto"/>
              <w:left w:val="single" w:sz="4" w:space="0" w:color="auto"/>
              <w:bottom w:val="nil"/>
              <w:right w:val="nil"/>
            </w:tcBorders>
            <w:shd w:val="pct25" w:color="auto" w:fill="auto"/>
          </w:tcPr>
          <w:p w:rsidR="00000000" w:rsidRDefault="00BC67ED">
            <w:pPr>
              <w:autoSpaceDE w:val="0"/>
              <w:autoSpaceDN w:val="0"/>
              <w:adjustRightInd w:val="0"/>
              <w:jc w:val="center"/>
              <w:rPr>
                <w:rFonts w:ascii="Arial" w:hAnsi="Arial" w:cs="Arial"/>
                <w:b/>
                <w:i/>
              </w:rPr>
            </w:pPr>
            <w:r>
              <w:rPr>
                <w:rFonts w:ascii="Arial" w:hAnsi="Arial" w:cs="Arial"/>
                <w:b/>
                <w:i/>
              </w:rPr>
              <w:t>127,06891</w:t>
            </w:r>
          </w:p>
        </w:tc>
        <w:tc>
          <w:tcPr>
            <w:tcW w:w="1019" w:type="dxa"/>
            <w:tcBorders>
              <w:top w:val="single" w:sz="4" w:space="0" w:color="auto"/>
              <w:left w:val="nil"/>
              <w:bottom w:val="nil"/>
              <w:right w:val="nil"/>
            </w:tcBorders>
          </w:tcPr>
          <w:p w:rsidR="00000000" w:rsidRDefault="00BC67ED">
            <w:pPr>
              <w:autoSpaceDE w:val="0"/>
              <w:autoSpaceDN w:val="0"/>
              <w:adjustRightInd w:val="0"/>
              <w:rPr>
                <w:rFonts w:ascii="Arial" w:hAnsi="Arial" w:cs="Arial"/>
                <w:sz w:val="20"/>
                <w:szCs w:val="20"/>
              </w:rPr>
            </w:pPr>
          </w:p>
        </w:tc>
        <w:tc>
          <w:tcPr>
            <w:tcW w:w="993" w:type="dxa"/>
            <w:tcBorders>
              <w:top w:val="single" w:sz="4" w:space="0" w:color="auto"/>
              <w:left w:val="nil"/>
              <w:bottom w:val="nil"/>
              <w:right w:val="nil"/>
            </w:tcBorders>
          </w:tcPr>
          <w:p w:rsidR="00000000" w:rsidRDefault="00BC67ED">
            <w:pPr>
              <w:autoSpaceDE w:val="0"/>
              <w:autoSpaceDN w:val="0"/>
              <w:adjustRightInd w:val="0"/>
              <w:rPr>
                <w:rFonts w:ascii="Arial" w:hAnsi="Arial" w:cs="Arial"/>
                <w:sz w:val="20"/>
                <w:szCs w:val="20"/>
              </w:rPr>
            </w:pPr>
          </w:p>
        </w:tc>
        <w:tc>
          <w:tcPr>
            <w:tcW w:w="1184"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i/>
                <w:sz w:val="20"/>
                <w:szCs w:val="20"/>
              </w:rPr>
            </w:pPr>
            <w:r>
              <w:rPr>
                <w:rFonts w:ascii="Arial" w:hAnsi="Arial" w:cs="Arial"/>
                <w:i/>
                <w:sz w:val="20"/>
                <w:szCs w:val="20"/>
              </w:rPr>
              <w:t>Tabaco</w:t>
            </w:r>
          </w:p>
        </w:tc>
        <w:tc>
          <w:tcPr>
            <w:tcW w:w="1351"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1,13782</w:t>
            </w:r>
          </w:p>
        </w:tc>
        <w:tc>
          <w:tcPr>
            <w:tcW w:w="1019" w:type="dxa"/>
            <w:tcBorders>
              <w:top w:val="nil"/>
              <w:left w:val="nil"/>
              <w:bottom w:val="nil"/>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1,68845</w:t>
            </w:r>
          </w:p>
        </w:tc>
        <w:tc>
          <w:tcPr>
            <w:tcW w:w="993"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p>
        </w:tc>
        <w:tc>
          <w:tcPr>
            <w:tcW w:w="1184"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i/>
                <w:sz w:val="20"/>
                <w:szCs w:val="20"/>
              </w:rPr>
            </w:pPr>
            <w:r>
              <w:rPr>
                <w:rFonts w:ascii="Arial" w:hAnsi="Arial" w:cs="Arial"/>
                <w:i/>
                <w:sz w:val="20"/>
                <w:szCs w:val="20"/>
              </w:rPr>
              <w:t>Alcohol</w:t>
            </w:r>
          </w:p>
        </w:tc>
        <w:tc>
          <w:tcPr>
            <w:tcW w:w="1351"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1,52437</w:t>
            </w:r>
          </w:p>
        </w:tc>
        <w:tc>
          <w:tcPr>
            <w:tcW w:w="1019"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0,60861</w:t>
            </w:r>
          </w:p>
        </w:tc>
        <w:tc>
          <w:tcPr>
            <w:tcW w:w="993" w:type="dxa"/>
            <w:tcBorders>
              <w:top w:val="nil"/>
              <w:left w:val="nil"/>
              <w:bottom w:val="nil"/>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1,26548</w:t>
            </w:r>
          </w:p>
        </w:tc>
        <w:tc>
          <w:tcPr>
            <w:tcW w:w="1184"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50" w:type="dxa"/>
            <w:tcBorders>
              <w:top w:val="nil"/>
              <w:left w:val="single" w:sz="4" w:space="0" w:color="auto"/>
              <w:bottom w:val="single" w:sz="4" w:space="0" w:color="auto"/>
              <w:right w:val="single" w:sz="4" w:space="0" w:color="auto"/>
            </w:tcBorders>
          </w:tcPr>
          <w:p w:rsidR="00000000" w:rsidRDefault="00BC67ED">
            <w:pPr>
              <w:autoSpaceDE w:val="0"/>
              <w:autoSpaceDN w:val="0"/>
              <w:adjustRightInd w:val="0"/>
              <w:rPr>
                <w:rFonts w:ascii="Arial" w:hAnsi="Arial" w:cs="Arial"/>
                <w:i/>
                <w:sz w:val="20"/>
                <w:szCs w:val="20"/>
              </w:rPr>
            </w:pPr>
            <w:r>
              <w:rPr>
                <w:rFonts w:ascii="Arial" w:hAnsi="Arial" w:cs="Arial"/>
                <w:i/>
                <w:sz w:val="20"/>
                <w:szCs w:val="20"/>
              </w:rPr>
              <w:t>Histología</w:t>
            </w:r>
          </w:p>
        </w:tc>
        <w:tc>
          <w:tcPr>
            <w:tcW w:w="1351" w:type="dxa"/>
            <w:tcBorders>
              <w:top w:val="nil"/>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0,11933</w:t>
            </w:r>
          </w:p>
        </w:tc>
        <w:tc>
          <w:tcPr>
            <w:tcW w:w="1019"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-0,05546</w:t>
            </w:r>
          </w:p>
        </w:tc>
        <w:tc>
          <w:tcPr>
            <w:tcW w:w="993"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0,02577</w:t>
            </w:r>
          </w:p>
        </w:tc>
        <w:tc>
          <w:tcPr>
            <w:tcW w:w="1184" w:type="dxa"/>
            <w:tcBorders>
              <w:top w:val="nil"/>
              <w:left w:val="nil"/>
              <w:bottom w:val="single" w:sz="4" w:space="0" w:color="auto"/>
              <w:right w:val="single" w:sz="4" w:space="0" w:color="auto"/>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1,56190</w:t>
            </w:r>
          </w:p>
        </w:tc>
      </w:tr>
    </w:tbl>
    <w:p w:rsidR="00000000" w:rsidRDefault="00BC67ED">
      <w:pPr>
        <w:spacing w:line="480" w:lineRule="auto"/>
        <w:ind w:left="1416"/>
        <w:jc w:val="center"/>
        <w:rPr>
          <w:rFonts w:ascii="Arial" w:hAnsi="Arial" w:cs="Arial"/>
          <w:b/>
        </w:rPr>
      </w:pPr>
    </w:p>
    <w:p w:rsidR="00000000" w:rsidRDefault="00BC67ED">
      <w:pPr>
        <w:autoSpaceDE w:val="0"/>
        <w:autoSpaceDN w:val="0"/>
        <w:adjustRightInd w:val="0"/>
        <w:rPr>
          <w:rFonts w:ascii="Courier New" w:hAnsi="Courier New" w:cs="Courier New"/>
          <w:sz w:val="18"/>
          <w:szCs w:val="18"/>
        </w:rPr>
      </w:pPr>
    </w:p>
    <w:p w:rsidR="00000000" w:rsidRDefault="00BC67ED">
      <w:pPr>
        <w:spacing w:line="480" w:lineRule="auto"/>
        <w:ind w:left="708"/>
        <w:jc w:val="both"/>
        <w:rPr>
          <w:rFonts w:ascii="Arial" w:hAnsi="Arial" w:cs="Arial"/>
          <w:spacing w:val="20"/>
        </w:rPr>
      </w:pPr>
      <w:r>
        <w:rPr>
          <w:rFonts w:ascii="Arial" w:hAnsi="Arial" w:cs="Arial"/>
          <w:spacing w:val="20"/>
        </w:rPr>
        <w:t>Como podemos observar la variable que se refiere a la edad tiene una varianza mucho mayor que las demás, y esta dominará la primera componente principal, sin importar la estructura de las covarianzas de l</w:t>
      </w:r>
      <w:r>
        <w:rPr>
          <w:rFonts w:ascii="Arial" w:hAnsi="Arial" w:cs="Arial"/>
          <w:spacing w:val="20"/>
        </w:rPr>
        <w:t>as variables.</w:t>
      </w:r>
    </w:p>
    <w:p w:rsidR="00000000" w:rsidRDefault="00BC67ED">
      <w:pPr>
        <w:spacing w:line="480" w:lineRule="auto"/>
        <w:ind w:left="708"/>
        <w:jc w:val="both"/>
        <w:rPr>
          <w:rFonts w:ascii="Arial" w:hAnsi="Arial" w:cs="Arial"/>
          <w:spacing w:val="20"/>
        </w:rPr>
      </w:pPr>
      <w:r>
        <w:rPr>
          <w:rFonts w:ascii="Arial" w:hAnsi="Arial" w:cs="Arial"/>
          <w:spacing w:val="20"/>
        </w:rPr>
        <w:t>En la siguiente tabla podemos observar que prácticamente la variable edad explica la primera componente y no tiene relación con las demás variables.</w:t>
      </w:r>
    </w:p>
    <w:p w:rsidR="00000000" w:rsidRDefault="00BC67ED">
      <w:pPr>
        <w:spacing w:line="480" w:lineRule="auto"/>
        <w:ind w:left="708"/>
        <w:jc w:val="center"/>
        <w:rPr>
          <w:rFonts w:ascii="Arial" w:hAnsi="Arial" w:cs="Arial"/>
          <w:spacing w:val="20"/>
        </w:rPr>
      </w:pPr>
      <w:r>
        <w:rPr>
          <w:rFonts w:ascii="Arial" w:hAnsi="Arial" w:cs="Arial"/>
          <w:b/>
          <w:caps/>
        </w:rPr>
        <w:t>Tabla XXXIV</w:t>
      </w:r>
    </w:p>
    <w:p w:rsidR="00000000" w:rsidRDefault="00BC67ED">
      <w:pPr>
        <w:spacing w:line="360" w:lineRule="auto"/>
        <w:ind w:left="708"/>
        <w:jc w:val="center"/>
        <w:rPr>
          <w:rFonts w:ascii="Arial" w:hAnsi="Arial" w:cs="Arial"/>
          <w:b/>
          <w:caps/>
        </w:rPr>
      </w:pPr>
      <w:r>
        <w:rPr>
          <w:rFonts w:ascii="Arial" w:hAnsi="Arial" w:cs="Arial"/>
          <w:b/>
          <w:caps/>
        </w:rPr>
        <w:t>Variabilidad de Componentes Principales</w:t>
      </w:r>
    </w:p>
    <w:p w:rsidR="00000000" w:rsidRDefault="00BC67ED">
      <w:pPr>
        <w:spacing w:line="360" w:lineRule="auto"/>
        <w:ind w:left="708"/>
        <w:jc w:val="center"/>
        <w:rPr>
          <w:rFonts w:ascii="Arial" w:hAnsi="Arial" w:cs="Arial"/>
          <w:b/>
          <w:caps/>
        </w:rPr>
      </w:pPr>
      <w:r>
        <w:rPr>
          <w:rFonts w:ascii="Arial" w:hAnsi="Arial" w:cs="Arial"/>
          <w:b/>
          <w:caps/>
        </w:rPr>
        <w:t>Utilizando la Matriz de Varianzas y Covar</w:t>
      </w:r>
      <w:r>
        <w:rPr>
          <w:rFonts w:ascii="Arial" w:hAnsi="Arial" w:cs="Arial"/>
          <w:b/>
          <w:caps/>
        </w:rPr>
        <w:t>ianzas.</w:t>
      </w:r>
    </w:p>
    <w:tbl>
      <w:tblPr>
        <w:tblpPr w:leftFromText="141" w:rightFromText="141" w:vertAnchor="text" w:horzAnchor="page" w:tblpX="4141" w:tblpY="300"/>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4"/>
        <w:gridCol w:w="1030"/>
        <w:gridCol w:w="916"/>
        <w:gridCol w:w="916"/>
        <w:gridCol w:w="916"/>
      </w:tblGrid>
      <w:tr w:rsidR="00000000">
        <w:tc>
          <w:tcPr>
            <w:tcW w:w="1924" w:type="dxa"/>
            <w:tcBorders>
              <w:bottom w:val="single" w:sz="4" w:space="0" w:color="auto"/>
              <w:right w:val="single" w:sz="4" w:space="0" w:color="auto"/>
            </w:tcBorders>
          </w:tcPr>
          <w:p w:rsidR="00000000" w:rsidRDefault="00BC67ED">
            <w:pPr>
              <w:autoSpaceDE w:val="0"/>
              <w:autoSpaceDN w:val="0"/>
              <w:adjustRightInd w:val="0"/>
              <w:jc w:val="both"/>
              <w:rPr>
                <w:rFonts w:ascii="Arial" w:hAnsi="Arial" w:cs="Arial"/>
                <w:b/>
                <w:lang w:val="fr-FR"/>
              </w:rPr>
            </w:pPr>
            <w:r>
              <w:rPr>
                <w:rFonts w:ascii="Arial" w:hAnsi="Arial" w:cs="Arial"/>
                <w:b/>
                <w:lang w:val="fr-FR"/>
              </w:rPr>
              <w:t>Variable</w:t>
            </w:r>
          </w:p>
        </w:tc>
        <w:tc>
          <w:tcPr>
            <w:tcW w:w="1030" w:type="dxa"/>
            <w:tcBorders>
              <w:left w:val="single" w:sz="4" w:space="0" w:color="auto"/>
              <w:bottom w:val="single" w:sz="4" w:space="0" w:color="auto"/>
            </w:tcBorders>
            <w:shd w:val="pct25" w:color="auto" w:fill="auto"/>
          </w:tcPr>
          <w:p w:rsidR="00000000" w:rsidRDefault="00BC67ED">
            <w:pPr>
              <w:autoSpaceDE w:val="0"/>
              <w:autoSpaceDN w:val="0"/>
              <w:adjustRightInd w:val="0"/>
              <w:jc w:val="center"/>
              <w:rPr>
                <w:rFonts w:ascii="Arial" w:hAnsi="Arial" w:cs="Arial"/>
                <w:b/>
                <w:bCs/>
                <w:i/>
                <w:iCs/>
              </w:rPr>
            </w:pPr>
            <w:r>
              <w:rPr>
                <w:rFonts w:ascii="Arial" w:hAnsi="Arial" w:cs="Arial"/>
                <w:b/>
                <w:bCs/>
                <w:i/>
                <w:iCs/>
              </w:rPr>
              <w:t>PC1</w:t>
            </w:r>
          </w:p>
        </w:tc>
        <w:tc>
          <w:tcPr>
            <w:tcW w:w="916" w:type="dxa"/>
            <w:tcBorders>
              <w:bottom w:val="single" w:sz="4" w:space="0" w:color="auto"/>
            </w:tcBorders>
          </w:tcPr>
          <w:p w:rsidR="00000000" w:rsidRDefault="00BC67ED">
            <w:pPr>
              <w:autoSpaceDE w:val="0"/>
              <w:autoSpaceDN w:val="0"/>
              <w:adjustRightInd w:val="0"/>
              <w:jc w:val="center"/>
              <w:rPr>
                <w:rFonts w:ascii="Arial" w:hAnsi="Arial" w:cs="Arial"/>
                <w:i/>
                <w:iCs/>
              </w:rPr>
            </w:pPr>
            <w:r>
              <w:rPr>
                <w:rFonts w:ascii="Arial" w:hAnsi="Arial" w:cs="Arial"/>
                <w:i/>
                <w:iCs/>
              </w:rPr>
              <w:t>PC2</w:t>
            </w:r>
          </w:p>
        </w:tc>
        <w:tc>
          <w:tcPr>
            <w:tcW w:w="916" w:type="dxa"/>
            <w:tcBorders>
              <w:bottom w:val="single" w:sz="4" w:space="0" w:color="auto"/>
            </w:tcBorders>
          </w:tcPr>
          <w:p w:rsidR="00000000" w:rsidRDefault="00BC67ED">
            <w:pPr>
              <w:autoSpaceDE w:val="0"/>
              <w:autoSpaceDN w:val="0"/>
              <w:adjustRightInd w:val="0"/>
              <w:jc w:val="center"/>
              <w:rPr>
                <w:rFonts w:ascii="Arial" w:hAnsi="Arial" w:cs="Arial"/>
                <w:i/>
                <w:iCs/>
                <w:lang w:val="en-US"/>
              </w:rPr>
            </w:pPr>
            <w:r>
              <w:rPr>
                <w:rFonts w:ascii="Arial" w:hAnsi="Arial" w:cs="Arial"/>
                <w:i/>
                <w:iCs/>
                <w:lang w:val="en-US"/>
              </w:rPr>
              <w:t>PC3</w:t>
            </w:r>
          </w:p>
        </w:tc>
        <w:tc>
          <w:tcPr>
            <w:tcW w:w="916" w:type="dxa"/>
            <w:tcBorders>
              <w:bottom w:val="single" w:sz="4" w:space="0" w:color="auto"/>
            </w:tcBorders>
          </w:tcPr>
          <w:p w:rsidR="00000000" w:rsidRDefault="00BC67ED">
            <w:pPr>
              <w:autoSpaceDE w:val="0"/>
              <w:autoSpaceDN w:val="0"/>
              <w:adjustRightInd w:val="0"/>
              <w:jc w:val="center"/>
              <w:rPr>
                <w:rFonts w:ascii="Arial" w:hAnsi="Arial" w:cs="Arial"/>
                <w:i/>
                <w:iCs/>
              </w:rPr>
            </w:pPr>
            <w:r>
              <w:rPr>
                <w:rFonts w:ascii="Arial" w:hAnsi="Arial" w:cs="Arial"/>
                <w:i/>
                <w:iCs/>
              </w:rPr>
              <w:t>PC4</w:t>
            </w:r>
          </w:p>
        </w:tc>
      </w:tr>
      <w:tr w:rsidR="00000000">
        <w:tc>
          <w:tcPr>
            <w:tcW w:w="1924" w:type="dxa"/>
            <w:tcBorders>
              <w:top w:val="single" w:sz="4" w:space="0" w:color="auto"/>
              <w:right w:val="single" w:sz="4" w:space="0" w:color="auto"/>
            </w:tcBorders>
            <w:shd w:val="pct25" w:color="auto" w:fill="auto"/>
          </w:tcPr>
          <w:p w:rsidR="00000000" w:rsidRDefault="00BC67ED">
            <w:pPr>
              <w:autoSpaceDE w:val="0"/>
              <w:autoSpaceDN w:val="0"/>
              <w:adjustRightInd w:val="0"/>
              <w:rPr>
                <w:rFonts w:ascii="Arial" w:hAnsi="Arial" w:cs="Arial"/>
                <w:i/>
              </w:rPr>
            </w:pPr>
            <w:r>
              <w:rPr>
                <w:rFonts w:ascii="Arial" w:hAnsi="Arial" w:cs="Arial"/>
                <w:i/>
              </w:rPr>
              <w:t>Edad</w:t>
            </w:r>
          </w:p>
        </w:tc>
        <w:tc>
          <w:tcPr>
            <w:tcW w:w="1030" w:type="dxa"/>
            <w:tcBorders>
              <w:top w:val="single" w:sz="4" w:space="0" w:color="auto"/>
              <w:left w:val="single" w:sz="4" w:space="0" w:color="auto"/>
            </w:tcBorders>
            <w:shd w:val="pct25" w:color="auto" w:fill="auto"/>
          </w:tcPr>
          <w:p w:rsidR="00000000" w:rsidRDefault="00BC67ED">
            <w:pPr>
              <w:autoSpaceDE w:val="0"/>
              <w:autoSpaceDN w:val="0"/>
              <w:adjustRightInd w:val="0"/>
              <w:jc w:val="center"/>
              <w:rPr>
                <w:rFonts w:ascii="Arial" w:hAnsi="Arial" w:cs="Arial"/>
                <w:b/>
                <w:i/>
                <w:lang w:val="fr-FR"/>
              </w:rPr>
            </w:pPr>
            <w:r>
              <w:rPr>
                <w:rFonts w:ascii="Arial" w:hAnsi="Arial" w:cs="Arial"/>
                <w:b/>
                <w:i/>
              </w:rPr>
              <w:t>-1,000</w:t>
            </w:r>
          </w:p>
        </w:tc>
        <w:tc>
          <w:tcPr>
            <w:tcW w:w="916" w:type="dxa"/>
            <w:tcBorders>
              <w:top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rPr>
              <w:t>-0,014</w:t>
            </w:r>
          </w:p>
        </w:tc>
        <w:tc>
          <w:tcPr>
            <w:tcW w:w="916" w:type="dxa"/>
            <w:tcBorders>
              <w:top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 xml:space="preserve"> 0,002</w:t>
            </w:r>
          </w:p>
        </w:tc>
        <w:tc>
          <w:tcPr>
            <w:tcW w:w="916" w:type="dxa"/>
            <w:tcBorders>
              <w:top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-0,005</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Tabaco</w:t>
            </w:r>
          </w:p>
        </w:tc>
        <w:tc>
          <w:tcPr>
            <w:tcW w:w="1030" w:type="dxa"/>
            <w:tcBorders>
              <w:left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-0,009</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0, 819</w:t>
            </w:r>
          </w:p>
        </w:tc>
        <w:tc>
          <w:tcPr>
            <w:tcW w:w="916" w:type="dxa"/>
          </w:tcPr>
          <w:p w:rsidR="00000000" w:rsidRDefault="00BC67ED">
            <w:pPr>
              <w:autoSpaceDE w:val="0"/>
              <w:autoSpaceDN w:val="0"/>
              <w:adjustRightInd w:val="0"/>
              <w:rPr>
                <w:rFonts w:ascii="Arial" w:hAnsi="Arial" w:cs="Arial"/>
                <w:i/>
                <w:lang w:val="fr-FR"/>
              </w:rPr>
            </w:pPr>
            <w:r>
              <w:rPr>
                <w:rFonts w:ascii="Arial" w:hAnsi="Arial" w:cs="Arial"/>
                <w:i/>
              </w:rPr>
              <w:t>-0,009</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-0,574</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Alcohol</w:t>
            </w:r>
          </w:p>
        </w:tc>
        <w:tc>
          <w:tcPr>
            <w:tcW w:w="1030" w:type="dxa"/>
            <w:tcBorders>
              <w:left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-0,012</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0,571</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-0,093</w:t>
            </w:r>
          </w:p>
        </w:tc>
        <w:tc>
          <w:tcPr>
            <w:tcW w:w="916" w:type="dxa"/>
          </w:tcPr>
          <w:p w:rsidR="00000000" w:rsidRDefault="00BC67ED">
            <w:pPr>
              <w:autoSpaceDE w:val="0"/>
              <w:autoSpaceDN w:val="0"/>
              <w:adjustRightInd w:val="0"/>
              <w:rPr>
                <w:rFonts w:ascii="Arial" w:hAnsi="Arial" w:cs="Arial"/>
                <w:i/>
                <w:lang w:val="fr-FR"/>
              </w:rPr>
            </w:pPr>
            <w:r>
              <w:rPr>
                <w:rFonts w:ascii="Arial" w:hAnsi="Arial" w:cs="Arial"/>
                <w:i/>
              </w:rPr>
              <w:t xml:space="preserve"> 0,816</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Histología</w:t>
            </w:r>
          </w:p>
        </w:tc>
        <w:tc>
          <w:tcPr>
            <w:tcW w:w="1030" w:type="dxa"/>
            <w:tcBorders>
              <w:left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-0,001</w:t>
            </w:r>
          </w:p>
        </w:tc>
        <w:tc>
          <w:tcPr>
            <w:tcW w:w="916" w:type="dxa"/>
          </w:tcPr>
          <w:p w:rsidR="00000000" w:rsidRDefault="00BC67ED">
            <w:pPr>
              <w:autoSpaceDE w:val="0"/>
              <w:autoSpaceDN w:val="0"/>
              <w:adjustRightInd w:val="0"/>
              <w:rPr>
                <w:rFonts w:ascii="Arial" w:hAnsi="Arial" w:cs="Arial"/>
                <w:i/>
                <w:lang w:val="fr-FR"/>
              </w:rPr>
            </w:pPr>
            <w:r>
              <w:rPr>
                <w:rFonts w:ascii="Arial" w:hAnsi="Arial" w:cs="Arial"/>
                <w:i/>
              </w:rPr>
              <w:t>-0,061</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-0,996</w:t>
            </w:r>
          </w:p>
        </w:tc>
        <w:tc>
          <w:tcPr>
            <w:tcW w:w="916" w:type="dxa"/>
          </w:tcPr>
          <w:p w:rsidR="00000000" w:rsidRDefault="00BC67ED">
            <w:pPr>
              <w:autoSpaceDE w:val="0"/>
              <w:autoSpaceDN w:val="0"/>
              <w:adjustRightInd w:val="0"/>
              <w:jc w:val="center"/>
              <w:rPr>
                <w:rFonts w:ascii="Arial" w:hAnsi="Arial" w:cs="Arial"/>
                <w:i/>
                <w:lang w:val="fr-FR"/>
              </w:rPr>
            </w:pPr>
            <w:r>
              <w:rPr>
                <w:rFonts w:ascii="Arial" w:hAnsi="Arial" w:cs="Arial"/>
                <w:i/>
              </w:rPr>
              <w:t>-0,071</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Eingenvector</w:t>
            </w:r>
          </w:p>
        </w:tc>
        <w:tc>
          <w:tcPr>
            <w:tcW w:w="1030" w:type="dxa"/>
            <w:tcBorders>
              <w:left w:val="single" w:sz="4" w:space="0" w:color="auto"/>
            </w:tcBorders>
          </w:tcPr>
          <w:p w:rsidR="00000000" w:rsidRDefault="00BC67ED">
            <w:pPr>
              <w:autoSpaceDE w:val="0"/>
              <w:autoSpaceDN w:val="0"/>
              <w:adjustRightInd w:val="0"/>
              <w:jc w:val="center"/>
              <w:rPr>
                <w:rFonts w:ascii="Arial" w:hAnsi="Arial" w:cs="Arial"/>
              </w:rPr>
            </w:pPr>
            <w:r>
              <w:rPr>
                <w:rFonts w:ascii="Arial" w:hAnsi="Arial" w:cs="Arial"/>
                <w:position w:val="-10"/>
              </w:rPr>
              <w:object w:dxaOrig="260" w:dyaOrig="340">
                <v:shape id="_x0000_i1174" type="#_x0000_t75" style="width:13.25pt;height:17.3pt" o:ole="">
                  <v:imagedata r:id="rId333" o:title=""/>
                </v:shape>
                <o:OLEObject Type="Embed" ProgID="Equation.3" ShapeID="_x0000_i1174" DrawAspect="Content" ObjectID="_1307787494" r:id="rId334"/>
              </w:object>
            </w:r>
          </w:p>
        </w:tc>
        <w:tc>
          <w:tcPr>
            <w:tcW w:w="916" w:type="dxa"/>
          </w:tcPr>
          <w:p w:rsidR="00000000" w:rsidRDefault="00BC67ED">
            <w:pPr>
              <w:autoSpaceDE w:val="0"/>
              <w:autoSpaceDN w:val="0"/>
              <w:adjustRightInd w:val="0"/>
              <w:jc w:val="center"/>
              <w:rPr>
                <w:rFonts w:ascii="Arial" w:hAnsi="Arial" w:cs="Arial"/>
              </w:rPr>
            </w:pPr>
            <w:r>
              <w:rPr>
                <w:rFonts w:ascii="Arial" w:hAnsi="Arial" w:cs="Arial"/>
                <w:position w:val="-10"/>
              </w:rPr>
              <w:object w:dxaOrig="279" w:dyaOrig="340">
                <v:shape id="_x0000_i1175" type="#_x0000_t75" style="width:13.8pt;height:17.3pt" o:ole="">
                  <v:imagedata r:id="rId335" o:title=""/>
                </v:shape>
                <o:OLEObject Type="Embed" ProgID="Equation.3" ShapeID="_x0000_i1175" DrawAspect="Content" ObjectID="_1307787495" r:id="rId336"/>
              </w:object>
            </w:r>
          </w:p>
        </w:tc>
        <w:tc>
          <w:tcPr>
            <w:tcW w:w="916" w:type="dxa"/>
          </w:tcPr>
          <w:p w:rsidR="00000000" w:rsidRDefault="00BC67ED">
            <w:pPr>
              <w:autoSpaceDE w:val="0"/>
              <w:autoSpaceDN w:val="0"/>
              <w:adjustRightInd w:val="0"/>
              <w:jc w:val="center"/>
              <w:rPr>
                <w:rFonts w:ascii="Arial" w:hAnsi="Arial" w:cs="Arial"/>
              </w:rPr>
            </w:pPr>
            <w:r>
              <w:rPr>
                <w:rFonts w:ascii="Arial" w:hAnsi="Arial" w:cs="Arial"/>
                <w:position w:val="-12"/>
              </w:rPr>
              <w:object w:dxaOrig="279" w:dyaOrig="360">
                <v:shape id="_x0000_i1176" type="#_x0000_t75" style="width:13.8pt;height:17.85pt" o:ole="">
                  <v:imagedata r:id="rId337" o:title=""/>
                </v:shape>
                <o:OLEObject Type="Embed" ProgID="Equation.3" ShapeID="_x0000_i1176" DrawAspect="Content" ObjectID="_1307787496" r:id="rId338"/>
              </w:object>
            </w:r>
          </w:p>
        </w:tc>
        <w:tc>
          <w:tcPr>
            <w:tcW w:w="916" w:type="dxa"/>
          </w:tcPr>
          <w:p w:rsidR="00000000" w:rsidRDefault="00BC67ED">
            <w:pPr>
              <w:autoSpaceDE w:val="0"/>
              <w:autoSpaceDN w:val="0"/>
              <w:adjustRightInd w:val="0"/>
              <w:jc w:val="center"/>
              <w:rPr>
                <w:rFonts w:ascii="Arial" w:hAnsi="Arial" w:cs="Arial"/>
              </w:rPr>
            </w:pPr>
            <w:r>
              <w:rPr>
                <w:rFonts w:ascii="Arial" w:hAnsi="Arial" w:cs="Arial"/>
                <w:position w:val="-10"/>
              </w:rPr>
              <w:object w:dxaOrig="279" w:dyaOrig="340">
                <v:shape id="_x0000_i1177" type="#_x0000_t75" style="width:13.8pt;height:17.3pt" o:ole="">
                  <v:imagedata r:id="rId339" o:title=""/>
                </v:shape>
                <o:OLEObject Type="Embed" ProgID="Equation.3" ShapeID="_x0000_i1177" DrawAspect="Content" ObjectID="_1307787497" r:id="rId340"/>
              </w:object>
            </w:r>
          </w:p>
        </w:tc>
      </w:tr>
    </w:tbl>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both"/>
        <w:rPr>
          <w:rFonts w:ascii="Arial" w:hAnsi="Arial" w:cs="Arial"/>
          <w:b/>
          <w:caps/>
        </w:rPr>
      </w:pPr>
    </w:p>
    <w:p w:rsidR="00000000" w:rsidRDefault="00BC67ED">
      <w:pPr>
        <w:spacing w:line="480" w:lineRule="auto"/>
        <w:ind w:left="1416"/>
        <w:jc w:val="both"/>
        <w:rPr>
          <w:rFonts w:ascii="Arial" w:hAnsi="Arial" w:cs="Arial"/>
          <w:b/>
          <w:caps/>
        </w:rPr>
      </w:pPr>
    </w:p>
    <w:p w:rsidR="00000000" w:rsidRDefault="00BC67ED">
      <w:pPr>
        <w:spacing w:line="480" w:lineRule="auto"/>
        <w:ind w:left="1416"/>
        <w:jc w:val="both"/>
        <w:rPr>
          <w:rFonts w:ascii="Arial" w:hAnsi="Arial" w:cs="Arial"/>
          <w:b/>
          <w:caps/>
        </w:rPr>
      </w:pPr>
    </w:p>
    <w:p w:rsidR="00000000" w:rsidRDefault="00BC67ED">
      <w:pPr>
        <w:spacing w:line="480" w:lineRule="auto"/>
        <w:ind w:left="1416"/>
        <w:jc w:val="both"/>
        <w:rPr>
          <w:rFonts w:ascii="Arial" w:hAnsi="Arial" w:cs="Arial"/>
          <w:b/>
          <w:caps/>
        </w:rPr>
      </w:pPr>
    </w:p>
    <w:p w:rsidR="00000000" w:rsidRDefault="00BC67ED">
      <w:pPr>
        <w:spacing w:line="480" w:lineRule="auto"/>
        <w:ind w:left="708"/>
        <w:jc w:val="both"/>
        <w:rPr>
          <w:rFonts w:ascii="Arial" w:hAnsi="Arial" w:cs="Arial"/>
          <w:b/>
          <w:caps/>
        </w:rPr>
      </w:pPr>
      <w:r>
        <w:rPr>
          <w:rFonts w:ascii="Arial" w:hAnsi="Arial" w:cs="Arial"/>
          <w:b/>
          <w:caps/>
        </w:rPr>
        <w:lastRenderedPageBreak/>
        <w:t>Covarianza Máxima</w:t>
      </w:r>
    </w:p>
    <w:tbl>
      <w:tblPr>
        <w:tblW w:w="6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235"/>
        <w:gridCol w:w="1074"/>
        <w:gridCol w:w="1022"/>
        <w:gridCol w:w="1185"/>
      </w:tblGrid>
      <w:tr w:rsidR="00000000">
        <w:tc>
          <w:tcPr>
            <w:tcW w:w="1750"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1235" w:type="dxa"/>
            <w:tcBorders>
              <w:top w:val="single" w:sz="4" w:space="0" w:color="auto"/>
              <w:left w:val="single" w:sz="4" w:space="0" w:color="auto"/>
              <w:bottom w:val="single" w:sz="4" w:space="0" w:color="auto"/>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Edad</w:t>
            </w:r>
          </w:p>
        </w:tc>
        <w:tc>
          <w:tcPr>
            <w:tcW w:w="1074"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Tabaco</w:t>
            </w:r>
          </w:p>
        </w:tc>
        <w:tc>
          <w:tcPr>
            <w:tcW w:w="1022"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Alcohol</w:t>
            </w:r>
          </w:p>
        </w:tc>
        <w:tc>
          <w:tcPr>
            <w:tcW w:w="1185"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Histología</w:t>
            </w:r>
          </w:p>
        </w:tc>
      </w:tr>
      <w:tr w:rsidR="00000000">
        <w:tc>
          <w:tcPr>
            <w:tcW w:w="1750"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Edad</w:t>
            </w:r>
          </w:p>
        </w:tc>
        <w:tc>
          <w:tcPr>
            <w:tcW w:w="1235" w:type="dxa"/>
            <w:tcBorders>
              <w:top w:val="single" w:sz="4" w:space="0" w:color="auto"/>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127,06891</w:t>
            </w:r>
          </w:p>
        </w:tc>
        <w:tc>
          <w:tcPr>
            <w:tcW w:w="1074"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022"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185"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Tabaco</w:t>
            </w:r>
          </w:p>
        </w:tc>
        <w:tc>
          <w:tcPr>
            <w:tcW w:w="1235"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1,13782</w:t>
            </w:r>
          </w:p>
        </w:tc>
        <w:tc>
          <w:tcPr>
            <w:tcW w:w="1074"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1,68845</w:t>
            </w:r>
          </w:p>
        </w:tc>
        <w:tc>
          <w:tcPr>
            <w:tcW w:w="1022"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p>
        </w:tc>
        <w:tc>
          <w:tcPr>
            <w:tcW w:w="1185"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shd w:val="pct15" w:color="auto" w:fill="auto"/>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Alcohol</w:t>
            </w:r>
          </w:p>
        </w:tc>
        <w:tc>
          <w:tcPr>
            <w:tcW w:w="1235" w:type="dxa"/>
            <w:tcBorders>
              <w:top w:val="nil"/>
              <w:left w:val="single" w:sz="4" w:space="0" w:color="auto"/>
              <w:bottom w:val="nil"/>
              <w:right w:val="nil"/>
            </w:tcBorders>
            <w:shd w:val="pct15" w:color="auto" w:fill="auto"/>
          </w:tcPr>
          <w:p w:rsidR="00000000" w:rsidRDefault="00BC67ED">
            <w:pPr>
              <w:autoSpaceDE w:val="0"/>
              <w:autoSpaceDN w:val="0"/>
              <w:adjustRightInd w:val="0"/>
              <w:jc w:val="center"/>
              <w:rPr>
                <w:rFonts w:ascii="Arial" w:hAnsi="Arial" w:cs="Arial"/>
                <w:b/>
                <w:i/>
              </w:rPr>
            </w:pPr>
            <w:r>
              <w:rPr>
                <w:rFonts w:ascii="Arial" w:hAnsi="Arial" w:cs="Arial"/>
                <w:b/>
                <w:i/>
              </w:rPr>
              <w:t xml:space="preserve">  1,52437</w:t>
            </w:r>
          </w:p>
        </w:tc>
        <w:tc>
          <w:tcPr>
            <w:tcW w:w="1074"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0,60861</w:t>
            </w:r>
          </w:p>
        </w:tc>
        <w:tc>
          <w:tcPr>
            <w:tcW w:w="1022"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1,26548</w:t>
            </w:r>
          </w:p>
        </w:tc>
        <w:tc>
          <w:tcPr>
            <w:tcW w:w="1185"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50" w:type="dxa"/>
            <w:tcBorders>
              <w:top w:val="nil"/>
              <w:left w:val="single" w:sz="4" w:space="0" w:color="auto"/>
              <w:bottom w:val="single" w:sz="4" w:space="0" w:color="auto"/>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Histología</w:t>
            </w:r>
          </w:p>
        </w:tc>
        <w:tc>
          <w:tcPr>
            <w:tcW w:w="1235" w:type="dxa"/>
            <w:tcBorders>
              <w:top w:val="nil"/>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0,11933</w:t>
            </w:r>
          </w:p>
        </w:tc>
        <w:tc>
          <w:tcPr>
            <w:tcW w:w="1074"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-0,05546</w:t>
            </w:r>
          </w:p>
        </w:tc>
        <w:tc>
          <w:tcPr>
            <w:tcW w:w="1022"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0,02577</w:t>
            </w:r>
          </w:p>
        </w:tc>
        <w:tc>
          <w:tcPr>
            <w:tcW w:w="1185" w:type="dxa"/>
            <w:tcBorders>
              <w:top w:val="nil"/>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1,56190</w:t>
            </w:r>
          </w:p>
        </w:tc>
      </w:tr>
    </w:tbl>
    <w:p w:rsidR="00000000" w:rsidRDefault="00BC67ED">
      <w:pPr>
        <w:spacing w:line="480" w:lineRule="auto"/>
        <w:ind w:left="1416"/>
        <w:jc w:val="center"/>
        <w:rPr>
          <w:rFonts w:ascii="Arial" w:hAnsi="Arial" w:cs="Arial"/>
          <w:b/>
        </w:rPr>
      </w:pPr>
    </w:p>
    <w:p w:rsidR="00000000" w:rsidRDefault="00BC67ED">
      <w:pPr>
        <w:ind w:left="708"/>
        <w:jc w:val="both"/>
        <w:rPr>
          <w:rFonts w:ascii="Arial" w:hAnsi="Arial" w:cs="Arial"/>
          <w:i/>
          <w:iCs/>
        </w:rPr>
      </w:pPr>
      <w:r>
        <w:rPr>
          <w:rFonts w:ascii="Arial" w:hAnsi="Arial" w:cs="Arial"/>
          <w:i/>
          <w:iCs/>
        </w:rPr>
        <w:t xml:space="preserve">Covarianza Máxima = </w:t>
      </w:r>
      <w:r>
        <w:rPr>
          <w:rFonts w:ascii="Arial" w:hAnsi="Arial" w:cs="Arial"/>
          <w:i/>
          <w:iCs/>
          <w:szCs w:val="18"/>
          <w:u w:val="single"/>
        </w:rPr>
        <w:t>1,52437</w:t>
      </w:r>
    </w:p>
    <w:p w:rsidR="00000000" w:rsidRDefault="00BC67ED">
      <w:pPr>
        <w:spacing w:line="480" w:lineRule="auto"/>
        <w:ind w:left="708"/>
        <w:jc w:val="both"/>
        <w:rPr>
          <w:rFonts w:ascii="Arial" w:hAnsi="Arial" w:cs="Arial"/>
          <w:b/>
        </w:rPr>
      </w:pPr>
    </w:p>
    <w:p w:rsidR="00000000" w:rsidRDefault="00BC67ED">
      <w:pPr>
        <w:spacing w:line="480" w:lineRule="auto"/>
        <w:ind w:left="708"/>
        <w:jc w:val="both"/>
        <w:rPr>
          <w:rFonts w:ascii="Arial" w:hAnsi="Arial" w:cs="Arial"/>
          <w:b/>
          <w:caps/>
        </w:rPr>
      </w:pPr>
      <w:r>
        <w:rPr>
          <w:rFonts w:ascii="Arial" w:hAnsi="Arial" w:cs="Arial"/>
          <w:b/>
          <w:caps/>
        </w:rPr>
        <w:t>Cov</w:t>
      </w:r>
      <w:r>
        <w:rPr>
          <w:rFonts w:ascii="Arial" w:hAnsi="Arial" w:cs="Arial"/>
          <w:b/>
          <w:caps/>
        </w:rPr>
        <w:t>arianza Mínima</w:t>
      </w:r>
    </w:p>
    <w:tbl>
      <w:tblPr>
        <w:tblW w:w="6479"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2"/>
        <w:gridCol w:w="1234"/>
        <w:gridCol w:w="1297"/>
        <w:gridCol w:w="1021"/>
        <w:gridCol w:w="1185"/>
      </w:tblGrid>
      <w:tr w:rsidR="00000000">
        <w:tc>
          <w:tcPr>
            <w:tcW w:w="1742"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1234" w:type="dxa"/>
            <w:tcBorders>
              <w:top w:val="single" w:sz="4" w:space="0" w:color="auto"/>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Edad</w:t>
            </w:r>
          </w:p>
        </w:tc>
        <w:tc>
          <w:tcPr>
            <w:tcW w:w="1297" w:type="dxa"/>
            <w:tcBorders>
              <w:top w:val="single" w:sz="4" w:space="0" w:color="auto"/>
              <w:left w:val="nil"/>
              <w:bottom w:val="single" w:sz="4" w:space="0" w:color="auto"/>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Tabaco</w:t>
            </w:r>
          </w:p>
        </w:tc>
        <w:tc>
          <w:tcPr>
            <w:tcW w:w="1021"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Alcohol</w:t>
            </w:r>
          </w:p>
        </w:tc>
        <w:tc>
          <w:tcPr>
            <w:tcW w:w="1185"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Histología</w:t>
            </w:r>
          </w:p>
        </w:tc>
      </w:tr>
      <w:tr w:rsidR="00000000">
        <w:tc>
          <w:tcPr>
            <w:tcW w:w="1742"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Edad</w:t>
            </w:r>
          </w:p>
        </w:tc>
        <w:tc>
          <w:tcPr>
            <w:tcW w:w="1234" w:type="dxa"/>
            <w:tcBorders>
              <w:top w:val="single" w:sz="4" w:space="0" w:color="auto"/>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127,06891</w:t>
            </w:r>
          </w:p>
        </w:tc>
        <w:tc>
          <w:tcPr>
            <w:tcW w:w="1297"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021"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185"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i/>
                <w:sz w:val="20"/>
                <w:szCs w:val="20"/>
              </w:rPr>
            </w:pPr>
          </w:p>
        </w:tc>
      </w:tr>
      <w:tr w:rsidR="00000000">
        <w:tc>
          <w:tcPr>
            <w:tcW w:w="1742"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Tabaco</w:t>
            </w:r>
          </w:p>
        </w:tc>
        <w:tc>
          <w:tcPr>
            <w:tcW w:w="1234"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1,13782</w:t>
            </w:r>
          </w:p>
        </w:tc>
        <w:tc>
          <w:tcPr>
            <w:tcW w:w="1297"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1,68845</w:t>
            </w:r>
          </w:p>
        </w:tc>
        <w:tc>
          <w:tcPr>
            <w:tcW w:w="1021"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p>
        </w:tc>
        <w:tc>
          <w:tcPr>
            <w:tcW w:w="1185"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42"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Alcohol</w:t>
            </w:r>
          </w:p>
        </w:tc>
        <w:tc>
          <w:tcPr>
            <w:tcW w:w="1234"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1,52437</w:t>
            </w:r>
          </w:p>
        </w:tc>
        <w:tc>
          <w:tcPr>
            <w:tcW w:w="1297"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0,60861</w:t>
            </w:r>
          </w:p>
        </w:tc>
        <w:tc>
          <w:tcPr>
            <w:tcW w:w="1021" w:type="dxa"/>
            <w:tcBorders>
              <w:top w:val="nil"/>
              <w:left w:val="nil"/>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1,26548</w:t>
            </w:r>
          </w:p>
        </w:tc>
        <w:tc>
          <w:tcPr>
            <w:tcW w:w="1185" w:type="dxa"/>
            <w:tcBorders>
              <w:top w:val="nil"/>
              <w:left w:val="nil"/>
              <w:bottom w:val="nil"/>
              <w:right w:val="single" w:sz="4" w:space="0" w:color="auto"/>
            </w:tcBorders>
          </w:tcPr>
          <w:p w:rsidR="00000000" w:rsidRDefault="00BC67ED">
            <w:pPr>
              <w:autoSpaceDE w:val="0"/>
              <w:autoSpaceDN w:val="0"/>
              <w:adjustRightInd w:val="0"/>
              <w:jc w:val="center"/>
              <w:rPr>
                <w:rFonts w:ascii="Arial" w:hAnsi="Arial" w:cs="Arial"/>
                <w:i/>
                <w:sz w:val="20"/>
                <w:szCs w:val="20"/>
              </w:rPr>
            </w:pPr>
          </w:p>
        </w:tc>
      </w:tr>
      <w:tr w:rsidR="00000000">
        <w:tc>
          <w:tcPr>
            <w:tcW w:w="1742" w:type="dxa"/>
            <w:tcBorders>
              <w:top w:val="nil"/>
              <w:left w:val="single" w:sz="4" w:space="0" w:color="auto"/>
              <w:bottom w:val="single" w:sz="4" w:space="0" w:color="auto"/>
              <w:right w:val="single" w:sz="4" w:space="0" w:color="auto"/>
            </w:tcBorders>
            <w:shd w:val="pct15" w:color="auto" w:fill="auto"/>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Histología</w:t>
            </w:r>
          </w:p>
        </w:tc>
        <w:tc>
          <w:tcPr>
            <w:tcW w:w="1234" w:type="dxa"/>
            <w:tcBorders>
              <w:top w:val="nil"/>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 xml:space="preserve">  0,11933</w:t>
            </w:r>
          </w:p>
        </w:tc>
        <w:tc>
          <w:tcPr>
            <w:tcW w:w="1297" w:type="dxa"/>
            <w:tcBorders>
              <w:top w:val="nil"/>
              <w:left w:val="nil"/>
              <w:bottom w:val="single" w:sz="4" w:space="0" w:color="auto"/>
              <w:right w:val="nil"/>
            </w:tcBorders>
            <w:shd w:val="pct25" w:color="auto" w:fill="auto"/>
          </w:tcPr>
          <w:p w:rsidR="00000000" w:rsidRDefault="00BC67ED">
            <w:pPr>
              <w:autoSpaceDE w:val="0"/>
              <w:autoSpaceDN w:val="0"/>
              <w:adjustRightInd w:val="0"/>
              <w:jc w:val="center"/>
              <w:rPr>
                <w:rFonts w:ascii="Arial" w:hAnsi="Arial" w:cs="Arial"/>
                <w:b/>
                <w:i/>
              </w:rPr>
            </w:pPr>
            <w:r>
              <w:rPr>
                <w:rFonts w:ascii="Arial" w:hAnsi="Arial" w:cs="Arial"/>
                <w:b/>
                <w:i/>
              </w:rPr>
              <w:t>-0,05546</w:t>
            </w:r>
          </w:p>
        </w:tc>
        <w:tc>
          <w:tcPr>
            <w:tcW w:w="1021"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0,02577</w:t>
            </w:r>
          </w:p>
        </w:tc>
        <w:tc>
          <w:tcPr>
            <w:tcW w:w="1185" w:type="dxa"/>
            <w:tcBorders>
              <w:top w:val="nil"/>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1,56190</w:t>
            </w:r>
          </w:p>
        </w:tc>
      </w:tr>
    </w:tbl>
    <w:p w:rsidR="00000000" w:rsidRDefault="00BC67ED">
      <w:pPr>
        <w:spacing w:line="480" w:lineRule="auto"/>
        <w:ind w:left="1416"/>
        <w:jc w:val="center"/>
        <w:rPr>
          <w:rFonts w:ascii="Arial" w:hAnsi="Arial" w:cs="Arial"/>
          <w:b/>
        </w:rPr>
      </w:pPr>
    </w:p>
    <w:p w:rsidR="00000000" w:rsidRDefault="00BC67ED">
      <w:pPr>
        <w:ind w:left="708"/>
        <w:jc w:val="both"/>
        <w:rPr>
          <w:rFonts w:ascii="Arial" w:hAnsi="Arial" w:cs="Arial"/>
          <w:i/>
          <w:iCs/>
        </w:rPr>
      </w:pPr>
      <w:r>
        <w:rPr>
          <w:rFonts w:ascii="Arial" w:hAnsi="Arial" w:cs="Arial"/>
          <w:i/>
          <w:iCs/>
        </w:rPr>
        <w:t xml:space="preserve">Covarianza Mínima = </w:t>
      </w:r>
      <w:r>
        <w:rPr>
          <w:rFonts w:ascii="Arial" w:hAnsi="Arial" w:cs="Arial"/>
          <w:i/>
          <w:u w:val="single"/>
        </w:rPr>
        <w:t>-0,05546</w:t>
      </w:r>
    </w:p>
    <w:p w:rsidR="00000000" w:rsidRDefault="00BC67ED">
      <w:pPr>
        <w:spacing w:line="480" w:lineRule="auto"/>
        <w:ind w:left="324"/>
        <w:jc w:val="center"/>
        <w:rPr>
          <w:rFonts w:ascii="Arial" w:hAnsi="Arial" w:cs="Arial"/>
          <w:b/>
        </w:rPr>
      </w:pPr>
    </w:p>
    <w:p w:rsidR="00000000" w:rsidRDefault="00BC67ED">
      <w:pPr>
        <w:spacing w:line="480" w:lineRule="auto"/>
        <w:ind w:left="708"/>
        <w:jc w:val="both"/>
        <w:rPr>
          <w:rFonts w:ascii="Arial" w:hAnsi="Arial" w:cs="Arial"/>
          <w:spacing w:val="20"/>
        </w:rPr>
      </w:pPr>
      <w:r>
        <w:rPr>
          <w:rFonts w:ascii="Arial" w:hAnsi="Arial" w:cs="Arial"/>
          <w:spacing w:val="20"/>
        </w:rPr>
        <w:t>La figura 4-1 muestra los valores propios de la</w:t>
      </w:r>
      <w:r>
        <w:rPr>
          <w:rFonts w:ascii="Arial" w:hAnsi="Arial" w:cs="Arial"/>
          <w:spacing w:val="20"/>
        </w:rPr>
        <w:t xml:space="preserve"> matriz de varianzas y covarianzas de los datos originales. Esta figura nos permite determinar el número optimo de las componentes por medio del criterio de las raíces latentes, al utilizar este criterio resulta que es optimo trabajar solamente con la prim</w:t>
      </w:r>
      <w:r>
        <w:rPr>
          <w:rFonts w:ascii="Arial" w:hAnsi="Arial" w:cs="Arial"/>
          <w:spacing w:val="20"/>
        </w:rPr>
        <w:t xml:space="preserve">era componente, ya que luego del primer valor propio, es decir, el que corresponde a la primera componente, se observa el descenso más pronunciado. </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center"/>
        <w:rPr>
          <w:rFonts w:ascii="Arial" w:hAnsi="Arial" w:cs="Arial"/>
          <w:spacing w:val="20"/>
        </w:rPr>
      </w:pPr>
      <w:r>
        <w:rPr>
          <w:rFonts w:ascii="Arial" w:hAnsi="Arial" w:cs="Arial"/>
          <w:b/>
          <w:caps/>
        </w:rPr>
        <w:lastRenderedPageBreak/>
        <w:t>Figura 4-1</w:t>
      </w:r>
    </w:p>
    <w:p w:rsidR="00000000" w:rsidRDefault="00BC67ED">
      <w:pPr>
        <w:spacing w:line="360" w:lineRule="auto"/>
        <w:ind w:left="708"/>
        <w:jc w:val="center"/>
        <w:rPr>
          <w:rFonts w:ascii="Arial" w:hAnsi="Arial" w:cs="Arial"/>
          <w:b/>
          <w:caps/>
        </w:rPr>
      </w:pPr>
      <w:r>
        <w:rPr>
          <w:rFonts w:ascii="Arial" w:hAnsi="Arial" w:cs="Arial"/>
          <w:b/>
          <w:caps/>
        </w:rPr>
        <w:t>Criterio de las RaÍces latentes</w:t>
      </w:r>
    </w:p>
    <w:p w:rsidR="00000000" w:rsidRDefault="00BC67ED">
      <w:pPr>
        <w:spacing w:line="360" w:lineRule="auto"/>
        <w:ind w:left="708"/>
        <w:jc w:val="center"/>
        <w:rPr>
          <w:rFonts w:ascii="Arial" w:hAnsi="Arial" w:cs="Arial"/>
          <w:b/>
        </w:rPr>
      </w:pPr>
      <w:r>
        <w:rPr>
          <w:rFonts w:ascii="Arial" w:hAnsi="Arial" w:cs="Arial"/>
          <w:b/>
        </w:rPr>
        <w:t>(Datos Reales)</w:t>
      </w:r>
    </w:p>
    <w:p w:rsidR="00000000" w:rsidRDefault="00BC67ED">
      <w:pPr>
        <w:spacing w:line="480" w:lineRule="auto"/>
        <w:ind w:left="708"/>
        <w:jc w:val="both"/>
        <w:rPr>
          <w:rFonts w:ascii="Arial" w:hAnsi="Arial" w:cs="Arial"/>
          <w:b/>
        </w:rPr>
      </w:pPr>
      <w:r>
        <w:object w:dxaOrig="7529" w:dyaOrig="5312">
          <v:shape id="_x0000_i1178" type="#_x0000_t75" style="width:376.7pt;height:265.55pt" o:ole="">
            <v:imagedata r:id="rId341" o:title=""/>
          </v:shape>
          <o:OLEObject Type="Embed" ProgID="MinitabGraph.Document" ShapeID="_x0000_i1178" DrawAspect="Content" ObjectID="_1307787498" r:id="rId342">
            <o:FieldCodes>\s</o:FieldCodes>
          </o:OLEObject>
        </w:object>
      </w:r>
    </w:p>
    <w:p w:rsidR="00000000" w:rsidRDefault="00BC67ED">
      <w:pPr>
        <w:spacing w:line="480" w:lineRule="auto"/>
        <w:ind w:left="708"/>
        <w:jc w:val="both"/>
        <w:rPr>
          <w:rFonts w:ascii="Arial" w:hAnsi="Arial" w:cs="Arial"/>
          <w:spacing w:val="20"/>
        </w:rPr>
      </w:pPr>
      <w:r>
        <w:rPr>
          <w:rFonts w:ascii="Arial" w:hAnsi="Arial" w:cs="Arial"/>
          <w:spacing w:val="20"/>
        </w:rPr>
        <w:t>Al trabaja</w:t>
      </w:r>
      <w:r>
        <w:rPr>
          <w:rFonts w:ascii="Arial" w:hAnsi="Arial" w:cs="Arial"/>
          <w:spacing w:val="20"/>
        </w:rPr>
        <w:t>r con el primer método para la retención óptima de componentes principales, deberíamos trabajar con cuatro componentes, ya que según este método se debe retener aquellas cuyas varianzas sean mayores que 1, sin embargo al trabajar con tres componentes se ti</w:t>
      </w:r>
      <w:r>
        <w:rPr>
          <w:rFonts w:ascii="Arial" w:hAnsi="Arial" w:cs="Arial"/>
          <w:spacing w:val="20"/>
        </w:rPr>
        <w:t>ene 99.4% del total de información.</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 xml:space="preserve">Por consiguiente el número óptimo de componentes que debemos retener será uno, es decir, retener solamente la </w:t>
      </w:r>
      <w:r>
        <w:rPr>
          <w:rFonts w:ascii="Arial" w:hAnsi="Arial" w:cs="Arial"/>
          <w:spacing w:val="20"/>
        </w:rPr>
        <w:lastRenderedPageBreak/>
        <w:t xml:space="preserve">primera componente principal. En el Anexo 7 contiene las calificaciones de las componentes principales. </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Las</w:t>
      </w:r>
      <w:r>
        <w:rPr>
          <w:rFonts w:ascii="Arial" w:hAnsi="Arial" w:cs="Arial"/>
          <w:spacing w:val="20"/>
        </w:rPr>
        <w:t xml:space="preserve"> calificaciones de componentes principales se estiman por</w:t>
      </w:r>
      <w:r>
        <w:rPr>
          <w:rStyle w:val="Refdenotaalpie"/>
          <w:rFonts w:ascii="Arial" w:hAnsi="Arial" w:cs="Arial"/>
          <w:spacing w:val="20"/>
        </w:rPr>
        <w:footnoteReference w:id="25"/>
      </w:r>
      <w:r>
        <w:rPr>
          <w:rFonts w:ascii="Arial" w:hAnsi="Arial" w:cs="Arial"/>
          <w:spacing w:val="20"/>
        </w:rPr>
        <w:t>:</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center"/>
        <w:rPr>
          <w:rFonts w:ascii="Arial" w:hAnsi="Arial" w:cs="Arial"/>
          <w:spacing w:val="20"/>
        </w:rPr>
      </w:pPr>
      <w:r>
        <w:rPr>
          <w:rFonts w:ascii="Arial" w:hAnsi="Arial" w:cs="Arial"/>
          <w:spacing w:val="20"/>
          <w:position w:val="-28"/>
        </w:rPr>
        <w:object w:dxaOrig="1680" w:dyaOrig="680">
          <v:shape id="_x0000_i1179" type="#_x0000_t75" style="width:84.1pt;height:34pt" o:ole="">
            <v:imagedata r:id="rId343" o:title=""/>
          </v:shape>
          <o:OLEObject Type="Embed" ProgID="Equation.3" ShapeID="_x0000_i1179" DrawAspect="Content" ObjectID="_1307787499" r:id="rId344"/>
        </w:object>
      </w:r>
      <w:r>
        <w:rPr>
          <w:rFonts w:ascii="Arial" w:hAnsi="Arial" w:cs="Arial"/>
          <w:spacing w:val="20"/>
        </w:rPr>
        <w:t xml:space="preserve">,  para  </w:t>
      </w:r>
      <w:r>
        <w:rPr>
          <w:rFonts w:ascii="Arial" w:hAnsi="Arial" w:cs="Arial"/>
          <w:spacing w:val="20"/>
          <w:position w:val="-10"/>
        </w:rPr>
        <w:object w:dxaOrig="1200" w:dyaOrig="320">
          <v:shape id="_x0000_i1180" type="#_x0000_t75" style="width:59.9pt;height:16.15pt" o:ole="">
            <v:imagedata r:id="rId345" o:title=""/>
          </v:shape>
          <o:OLEObject Type="Embed" ProgID="Equation.3" ShapeID="_x0000_i1180" DrawAspect="Content" ObjectID="_1307787500" r:id="rId346"/>
        </w:object>
      </w:r>
      <w:r>
        <w:rPr>
          <w:rFonts w:ascii="Arial" w:hAnsi="Arial" w:cs="Arial"/>
          <w:spacing w:val="20"/>
        </w:rPr>
        <w:t xml:space="preserve"> ;  </w:t>
      </w:r>
      <w:r>
        <w:rPr>
          <w:rFonts w:ascii="Arial" w:hAnsi="Arial" w:cs="Arial"/>
          <w:spacing w:val="20"/>
          <w:position w:val="-10"/>
        </w:rPr>
        <w:object w:dxaOrig="1219" w:dyaOrig="320">
          <v:shape id="_x0000_i1181" type="#_x0000_t75" style="width:61.05pt;height:16.15pt" o:ole="">
            <v:imagedata r:id="rId347" o:title=""/>
          </v:shape>
          <o:OLEObject Type="Embed" ProgID="Equation.3" ShapeID="_x0000_i1181" DrawAspect="Content" ObjectID="_1307787501" r:id="rId348"/>
        </w:objec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rPr>
      </w:pPr>
      <w:r>
        <w:rPr>
          <w:rFonts w:ascii="Arial" w:hAnsi="Arial" w:cs="Arial"/>
        </w:rPr>
        <w:t>Debe recordar que sólo se debe efectuar un análisis de componentes principales en aquellos casos en donde el de</w:t>
      </w:r>
      <w:r>
        <w:rPr>
          <w:rFonts w:ascii="Arial" w:hAnsi="Arial" w:cs="Arial"/>
        </w:rPr>
        <w:t>terminante de la matriz de correlaciones está cercano a cero, porque esto indica que existen dependencias lineales entre las variables respuestas.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A continuación se tomará en consideración a la matriz de correlaciones para los cálculos de las componentes </w:t>
      </w:r>
      <w:r>
        <w:rPr>
          <w:rFonts w:ascii="Arial" w:hAnsi="Arial" w:cs="Arial"/>
        </w:rPr>
        <w:t xml:space="preserve">principales de los datos estandarizados y  además se debe recordar que sólo se debe efectuar un análisis de componentes principales en aquellos casos en donde el determinante de la matriz de correlaciones está cercano a cero, porque esto indica que existe </w:t>
      </w:r>
      <w:r>
        <w:rPr>
          <w:rFonts w:ascii="Arial" w:hAnsi="Arial" w:cs="Arial"/>
        </w:rPr>
        <w:t>dependencias lineales entre las variables respuestas.</w:t>
      </w:r>
    </w:p>
    <w:p w:rsidR="00000000" w:rsidRDefault="00BC67ED">
      <w:pPr>
        <w:spacing w:line="480" w:lineRule="auto"/>
        <w:ind w:left="708"/>
        <w:jc w:val="center"/>
        <w:rPr>
          <w:rFonts w:ascii="Arial" w:hAnsi="Arial" w:cs="Arial"/>
          <w:b/>
          <w:caps/>
        </w:rPr>
      </w:pPr>
      <w:r>
        <w:rPr>
          <w:rFonts w:ascii="Arial" w:hAnsi="Arial" w:cs="Arial"/>
          <w:b/>
          <w:caps/>
        </w:rPr>
        <w:lastRenderedPageBreak/>
        <w:t>Matriz de Correlación</w:t>
      </w:r>
    </w:p>
    <w:tbl>
      <w:tblPr>
        <w:tblW w:w="5574"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740"/>
        <w:gridCol w:w="945"/>
        <w:gridCol w:w="955"/>
        <w:gridCol w:w="1184"/>
      </w:tblGrid>
      <w:tr w:rsidR="00000000">
        <w:tc>
          <w:tcPr>
            <w:tcW w:w="1750"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740" w:type="dxa"/>
            <w:tcBorders>
              <w:top w:val="single" w:sz="4" w:space="0" w:color="auto"/>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Edad</w:t>
            </w:r>
          </w:p>
        </w:tc>
        <w:tc>
          <w:tcPr>
            <w:tcW w:w="945"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Tabaco</w:t>
            </w:r>
          </w:p>
        </w:tc>
        <w:tc>
          <w:tcPr>
            <w:tcW w:w="955"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Alcohol</w:t>
            </w:r>
          </w:p>
        </w:tc>
        <w:tc>
          <w:tcPr>
            <w:tcW w:w="1184"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Histología</w:t>
            </w:r>
          </w:p>
        </w:tc>
      </w:tr>
      <w:tr w:rsidR="00000000">
        <w:tc>
          <w:tcPr>
            <w:tcW w:w="1750"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Edad</w:t>
            </w:r>
          </w:p>
        </w:tc>
        <w:tc>
          <w:tcPr>
            <w:tcW w:w="740" w:type="dxa"/>
            <w:tcBorders>
              <w:top w:val="single" w:sz="4" w:space="0" w:color="auto"/>
              <w:left w:val="single" w:sz="4" w:space="0" w:color="auto"/>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45"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955"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184"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Tabaco</w:t>
            </w:r>
          </w:p>
        </w:tc>
        <w:tc>
          <w:tcPr>
            <w:tcW w:w="740"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0,078</w:t>
            </w:r>
          </w:p>
        </w:tc>
        <w:tc>
          <w:tcPr>
            <w:tcW w:w="945"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55" w:type="dxa"/>
            <w:tcBorders>
              <w:top w:val="nil"/>
              <w:left w:val="nil"/>
              <w:bottom w:val="nil"/>
              <w:right w:val="nil"/>
            </w:tcBorders>
          </w:tcPr>
          <w:p w:rsidR="00000000" w:rsidRDefault="00BC67ED">
            <w:pPr>
              <w:autoSpaceDE w:val="0"/>
              <w:autoSpaceDN w:val="0"/>
              <w:adjustRightInd w:val="0"/>
              <w:jc w:val="right"/>
              <w:rPr>
                <w:rFonts w:ascii="Arial" w:hAnsi="Arial" w:cs="Arial"/>
                <w:i/>
                <w:sz w:val="20"/>
                <w:szCs w:val="20"/>
              </w:rPr>
            </w:pPr>
          </w:p>
        </w:tc>
        <w:tc>
          <w:tcPr>
            <w:tcW w:w="1184"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Alcohol</w:t>
            </w:r>
          </w:p>
        </w:tc>
        <w:tc>
          <w:tcPr>
            <w:tcW w:w="740"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0,120</w:t>
            </w:r>
          </w:p>
        </w:tc>
        <w:tc>
          <w:tcPr>
            <w:tcW w:w="945" w:type="dxa"/>
            <w:tcBorders>
              <w:top w:val="nil"/>
              <w:left w:val="nil"/>
              <w:bottom w:val="nil"/>
              <w:right w:val="nil"/>
            </w:tcBorders>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0,416</w:t>
            </w:r>
          </w:p>
        </w:tc>
        <w:tc>
          <w:tcPr>
            <w:tcW w:w="955"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1184"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single" w:sz="4" w:space="0" w:color="auto"/>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Histología</w:t>
            </w:r>
          </w:p>
        </w:tc>
        <w:tc>
          <w:tcPr>
            <w:tcW w:w="740" w:type="dxa"/>
            <w:tcBorders>
              <w:top w:val="nil"/>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0,008</w:t>
            </w:r>
          </w:p>
        </w:tc>
        <w:tc>
          <w:tcPr>
            <w:tcW w:w="945" w:type="dxa"/>
            <w:tcBorders>
              <w:top w:val="nil"/>
              <w:left w:val="nil"/>
              <w:bottom w:val="single" w:sz="4" w:space="0" w:color="auto"/>
              <w:right w:val="nil"/>
            </w:tcBorders>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-0,034</w:t>
            </w:r>
          </w:p>
        </w:tc>
        <w:tc>
          <w:tcPr>
            <w:tcW w:w="955"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0,018</w:t>
            </w:r>
          </w:p>
        </w:tc>
        <w:tc>
          <w:tcPr>
            <w:tcW w:w="1184" w:type="dxa"/>
            <w:tcBorders>
              <w:top w:val="nil"/>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r>
    </w:tbl>
    <w:p w:rsidR="00000000" w:rsidRDefault="00BC67ED">
      <w:pPr>
        <w:spacing w:line="480" w:lineRule="auto"/>
        <w:ind w:left="1416"/>
        <w:jc w:val="center"/>
        <w:rPr>
          <w:rFonts w:ascii="Arial" w:hAnsi="Arial" w:cs="Arial"/>
          <w:b/>
        </w:rPr>
      </w:pPr>
    </w:p>
    <w:p w:rsidR="00000000" w:rsidRDefault="00BC67ED">
      <w:pPr>
        <w:spacing w:line="480" w:lineRule="auto"/>
        <w:ind w:left="708"/>
        <w:jc w:val="both"/>
        <w:rPr>
          <w:rFonts w:ascii="Arial" w:hAnsi="Arial" w:cs="Arial"/>
          <w:b/>
          <w:caps/>
        </w:rPr>
      </w:pPr>
      <w:r>
        <w:rPr>
          <w:rFonts w:ascii="Arial" w:hAnsi="Arial" w:cs="Arial"/>
          <w:b/>
          <w:caps/>
        </w:rPr>
        <w:t>Variable con Mayor Correlación</w:t>
      </w:r>
    </w:p>
    <w:tbl>
      <w:tblPr>
        <w:tblW w:w="5574"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740"/>
        <w:gridCol w:w="945"/>
        <w:gridCol w:w="955"/>
        <w:gridCol w:w="1184"/>
      </w:tblGrid>
      <w:tr w:rsidR="00000000">
        <w:tc>
          <w:tcPr>
            <w:tcW w:w="1750"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740" w:type="dxa"/>
            <w:tcBorders>
              <w:top w:val="single" w:sz="4" w:space="0" w:color="auto"/>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Edad</w:t>
            </w:r>
          </w:p>
        </w:tc>
        <w:tc>
          <w:tcPr>
            <w:tcW w:w="945" w:type="dxa"/>
            <w:tcBorders>
              <w:top w:val="single" w:sz="4" w:space="0" w:color="auto"/>
              <w:left w:val="nil"/>
              <w:bottom w:val="single" w:sz="4" w:space="0" w:color="auto"/>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Tabaco</w:t>
            </w:r>
          </w:p>
        </w:tc>
        <w:tc>
          <w:tcPr>
            <w:tcW w:w="955"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Alcohol</w:t>
            </w:r>
          </w:p>
        </w:tc>
        <w:tc>
          <w:tcPr>
            <w:tcW w:w="1184"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Histolog</w:t>
            </w:r>
            <w:r>
              <w:rPr>
                <w:rFonts w:ascii="Arial" w:hAnsi="Arial" w:cs="Arial"/>
                <w:b/>
                <w:i/>
                <w:sz w:val="20"/>
                <w:szCs w:val="20"/>
              </w:rPr>
              <w:t>ía</w:t>
            </w:r>
          </w:p>
        </w:tc>
      </w:tr>
      <w:tr w:rsidR="00000000">
        <w:tc>
          <w:tcPr>
            <w:tcW w:w="1750"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Edad</w:t>
            </w:r>
          </w:p>
        </w:tc>
        <w:tc>
          <w:tcPr>
            <w:tcW w:w="740" w:type="dxa"/>
            <w:tcBorders>
              <w:top w:val="single" w:sz="4" w:space="0" w:color="auto"/>
              <w:left w:val="single" w:sz="4" w:space="0" w:color="auto"/>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45"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955"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184"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Tabaco</w:t>
            </w:r>
          </w:p>
        </w:tc>
        <w:tc>
          <w:tcPr>
            <w:tcW w:w="740"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0,078</w:t>
            </w:r>
          </w:p>
        </w:tc>
        <w:tc>
          <w:tcPr>
            <w:tcW w:w="945"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55" w:type="dxa"/>
            <w:tcBorders>
              <w:top w:val="nil"/>
              <w:left w:val="nil"/>
              <w:bottom w:val="nil"/>
              <w:right w:val="nil"/>
            </w:tcBorders>
          </w:tcPr>
          <w:p w:rsidR="00000000" w:rsidRDefault="00BC67ED">
            <w:pPr>
              <w:autoSpaceDE w:val="0"/>
              <w:autoSpaceDN w:val="0"/>
              <w:adjustRightInd w:val="0"/>
              <w:jc w:val="right"/>
              <w:rPr>
                <w:rFonts w:ascii="Arial" w:hAnsi="Arial" w:cs="Arial"/>
                <w:i/>
                <w:sz w:val="20"/>
                <w:szCs w:val="20"/>
              </w:rPr>
            </w:pPr>
          </w:p>
        </w:tc>
        <w:tc>
          <w:tcPr>
            <w:tcW w:w="1184"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shd w:val="pct15" w:color="auto" w:fill="auto"/>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Alcohol</w:t>
            </w:r>
          </w:p>
        </w:tc>
        <w:tc>
          <w:tcPr>
            <w:tcW w:w="740"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0,120</w:t>
            </w:r>
          </w:p>
        </w:tc>
        <w:tc>
          <w:tcPr>
            <w:tcW w:w="945" w:type="dxa"/>
            <w:tcBorders>
              <w:top w:val="nil"/>
              <w:left w:val="nil"/>
              <w:bottom w:val="nil"/>
              <w:right w:val="nil"/>
            </w:tcBorders>
            <w:shd w:val="pct15" w:color="auto" w:fill="auto"/>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0,416</w:t>
            </w:r>
          </w:p>
        </w:tc>
        <w:tc>
          <w:tcPr>
            <w:tcW w:w="955"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1184"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single" w:sz="4" w:space="0" w:color="auto"/>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Histología</w:t>
            </w:r>
          </w:p>
        </w:tc>
        <w:tc>
          <w:tcPr>
            <w:tcW w:w="740" w:type="dxa"/>
            <w:tcBorders>
              <w:top w:val="nil"/>
              <w:left w:val="single" w:sz="4" w:space="0" w:color="auto"/>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0,008</w:t>
            </w:r>
          </w:p>
        </w:tc>
        <w:tc>
          <w:tcPr>
            <w:tcW w:w="945" w:type="dxa"/>
            <w:tcBorders>
              <w:top w:val="nil"/>
              <w:left w:val="nil"/>
              <w:bottom w:val="single" w:sz="4" w:space="0" w:color="auto"/>
              <w:right w:val="nil"/>
            </w:tcBorders>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-0,034</w:t>
            </w:r>
          </w:p>
        </w:tc>
        <w:tc>
          <w:tcPr>
            <w:tcW w:w="955"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0,018</w:t>
            </w:r>
          </w:p>
        </w:tc>
        <w:tc>
          <w:tcPr>
            <w:tcW w:w="1184" w:type="dxa"/>
            <w:tcBorders>
              <w:top w:val="nil"/>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r>
    </w:tbl>
    <w:p w:rsidR="00000000" w:rsidRDefault="00BC67ED">
      <w:pPr>
        <w:spacing w:line="480" w:lineRule="auto"/>
        <w:ind w:left="1416"/>
        <w:jc w:val="center"/>
        <w:rPr>
          <w:rFonts w:ascii="Arial" w:hAnsi="Arial" w:cs="Arial"/>
          <w:b/>
        </w:rPr>
      </w:pPr>
    </w:p>
    <w:p w:rsidR="00000000" w:rsidRDefault="00BC67ED">
      <w:pPr>
        <w:ind w:left="708"/>
        <w:jc w:val="both"/>
        <w:rPr>
          <w:rFonts w:ascii="Arial" w:hAnsi="Arial" w:cs="Arial"/>
          <w:i/>
          <w:iCs/>
        </w:rPr>
      </w:pPr>
      <w:r>
        <w:rPr>
          <w:rFonts w:ascii="Arial" w:hAnsi="Arial" w:cs="Arial"/>
          <w:i/>
          <w:iCs/>
        </w:rPr>
        <w:t xml:space="preserve">Máxima Correlación = </w:t>
      </w:r>
      <w:r>
        <w:rPr>
          <w:rFonts w:ascii="Arial" w:hAnsi="Arial" w:cs="Arial"/>
          <w:i/>
          <w:u w:val="single"/>
        </w:rPr>
        <w:t>0,4166</w:t>
      </w:r>
    </w:p>
    <w:p w:rsidR="00000000" w:rsidRDefault="00BC67ED">
      <w:pPr>
        <w:spacing w:line="480" w:lineRule="auto"/>
        <w:ind w:left="324"/>
        <w:jc w:val="center"/>
        <w:rPr>
          <w:rFonts w:ascii="Arial" w:hAnsi="Arial" w:cs="Arial"/>
          <w:b/>
        </w:rPr>
      </w:pPr>
    </w:p>
    <w:p w:rsidR="00000000" w:rsidRDefault="00BC67ED">
      <w:pPr>
        <w:spacing w:line="480" w:lineRule="auto"/>
        <w:ind w:left="708"/>
        <w:jc w:val="both"/>
        <w:rPr>
          <w:rFonts w:ascii="Arial" w:hAnsi="Arial" w:cs="Arial"/>
          <w:b/>
          <w:caps/>
        </w:rPr>
      </w:pPr>
      <w:r>
        <w:rPr>
          <w:rFonts w:ascii="Arial" w:hAnsi="Arial" w:cs="Arial"/>
          <w:b/>
          <w:caps/>
        </w:rPr>
        <w:t>Variable con Menor Correlación</w:t>
      </w:r>
    </w:p>
    <w:tbl>
      <w:tblPr>
        <w:tblW w:w="5617"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817"/>
        <w:gridCol w:w="917"/>
        <w:gridCol w:w="950"/>
        <w:gridCol w:w="1183"/>
      </w:tblGrid>
      <w:tr w:rsidR="00000000">
        <w:tc>
          <w:tcPr>
            <w:tcW w:w="1750" w:type="dxa"/>
            <w:tcBorders>
              <w:top w:val="nil"/>
              <w:left w:val="nil"/>
              <w:bottom w:val="single" w:sz="4" w:space="0" w:color="auto"/>
              <w:right w:val="single" w:sz="4" w:space="0" w:color="auto"/>
            </w:tcBorders>
          </w:tcPr>
          <w:p w:rsidR="00000000" w:rsidRDefault="00BC67ED">
            <w:pPr>
              <w:autoSpaceDE w:val="0"/>
              <w:autoSpaceDN w:val="0"/>
              <w:adjustRightInd w:val="0"/>
              <w:rPr>
                <w:rFonts w:ascii="Arial" w:hAnsi="Arial" w:cs="Arial"/>
                <w:sz w:val="20"/>
                <w:szCs w:val="20"/>
              </w:rPr>
            </w:pPr>
          </w:p>
        </w:tc>
        <w:tc>
          <w:tcPr>
            <w:tcW w:w="817" w:type="dxa"/>
            <w:tcBorders>
              <w:top w:val="single" w:sz="4" w:space="0" w:color="auto"/>
              <w:left w:val="single" w:sz="4" w:space="0" w:color="auto"/>
              <w:bottom w:val="single" w:sz="4" w:space="0" w:color="auto"/>
              <w:right w:val="nil"/>
            </w:tcBorders>
            <w:shd w:val="pct15" w:color="auto" w:fill="auto"/>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Edad</w:t>
            </w:r>
          </w:p>
        </w:tc>
        <w:tc>
          <w:tcPr>
            <w:tcW w:w="917"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Tabaco</w:t>
            </w:r>
          </w:p>
        </w:tc>
        <w:tc>
          <w:tcPr>
            <w:tcW w:w="950" w:type="dxa"/>
            <w:tcBorders>
              <w:top w:val="single" w:sz="4" w:space="0" w:color="auto"/>
              <w:left w:val="nil"/>
              <w:bottom w:val="single" w:sz="4" w:space="0" w:color="auto"/>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Alcohol</w:t>
            </w:r>
          </w:p>
        </w:tc>
        <w:tc>
          <w:tcPr>
            <w:tcW w:w="1183" w:type="dxa"/>
            <w:tcBorders>
              <w:top w:val="single" w:sz="4" w:space="0" w:color="auto"/>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Histología</w:t>
            </w:r>
          </w:p>
        </w:tc>
      </w:tr>
      <w:tr w:rsidR="00000000">
        <w:tc>
          <w:tcPr>
            <w:tcW w:w="1750" w:type="dxa"/>
            <w:tcBorders>
              <w:top w:val="single" w:sz="4" w:space="0" w:color="auto"/>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Edad</w:t>
            </w:r>
          </w:p>
        </w:tc>
        <w:tc>
          <w:tcPr>
            <w:tcW w:w="817" w:type="dxa"/>
            <w:tcBorders>
              <w:top w:val="single" w:sz="4" w:space="0" w:color="auto"/>
              <w:left w:val="single" w:sz="4" w:space="0" w:color="auto"/>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17"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950" w:type="dxa"/>
            <w:tcBorders>
              <w:top w:val="single" w:sz="4" w:space="0" w:color="auto"/>
              <w:left w:val="nil"/>
              <w:bottom w:val="nil"/>
              <w:right w:val="nil"/>
            </w:tcBorders>
          </w:tcPr>
          <w:p w:rsidR="00000000" w:rsidRDefault="00BC67ED">
            <w:pPr>
              <w:autoSpaceDE w:val="0"/>
              <w:autoSpaceDN w:val="0"/>
              <w:adjustRightInd w:val="0"/>
              <w:rPr>
                <w:rFonts w:ascii="Arial" w:hAnsi="Arial" w:cs="Arial"/>
                <w:i/>
                <w:sz w:val="20"/>
                <w:szCs w:val="20"/>
              </w:rPr>
            </w:pPr>
          </w:p>
        </w:tc>
        <w:tc>
          <w:tcPr>
            <w:tcW w:w="1183" w:type="dxa"/>
            <w:tcBorders>
              <w:top w:val="single" w:sz="4" w:space="0" w:color="auto"/>
              <w:left w:val="nil"/>
              <w:bottom w:val="nil"/>
              <w:right w:val="single" w:sz="4" w:space="0" w:color="auto"/>
            </w:tcBorders>
          </w:tcPr>
          <w:p w:rsidR="00000000" w:rsidRDefault="00BC67ED">
            <w:pPr>
              <w:autoSpaceDE w:val="0"/>
              <w:autoSpaceDN w:val="0"/>
              <w:adjustRightInd w:val="0"/>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Tabaco</w:t>
            </w:r>
          </w:p>
        </w:tc>
        <w:tc>
          <w:tcPr>
            <w:tcW w:w="817"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0,078</w:t>
            </w:r>
          </w:p>
        </w:tc>
        <w:tc>
          <w:tcPr>
            <w:tcW w:w="917"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950" w:type="dxa"/>
            <w:tcBorders>
              <w:top w:val="nil"/>
              <w:left w:val="nil"/>
              <w:bottom w:val="nil"/>
              <w:right w:val="nil"/>
            </w:tcBorders>
          </w:tcPr>
          <w:p w:rsidR="00000000" w:rsidRDefault="00BC67ED">
            <w:pPr>
              <w:autoSpaceDE w:val="0"/>
              <w:autoSpaceDN w:val="0"/>
              <w:adjustRightInd w:val="0"/>
              <w:jc w:val="right"/>
              <w:rPr>
                <w:rFonts w:ascii="Arial" w:hAnsi="Arial" w:cs="Arial"/>
                <w:i/>
                <w:sz w:val="20"/>
                <w:szCs w:val="20"/>
              </w:rPr>
            </w:pPr>
          </w:p>
        </w:tc>
        <w:tc>
          <w:tcPr>
            <w:tcW w:w="1183"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nil"/>
              <w:right w:val="single" w:sz="4" w:space="0" w:color="auto"/>
            </w:tcBorders>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Alcohol</w:t>
            </w:r>
          </w:p>
        </w:tc>
        <w:tc>
          <w:tcPr>
            <w:tcW w:w="817" w:type="dxa"/>
            <w:tcBorders>
              <w:top w:val="nil"/>
              <w:left w:val="single" w:sz="4" w:space="0" w:color="auto"/>
              <w:bottom w:val="nil"/>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0,120</w:t>
            </w:r>
          </w:p>
        </w:tc>
        <w:tc>
          <w:tcPr>
            <w:tcW w:w="917" w:type="dxa"/>
            <w:tcBorders>
              <w:top w:val="nil"/>
              <w:left w:val="nil"/>
              <w:bottom w:val="nil"/>
              <w:right w:val="nil"/>
            </w:tcBorders>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0,416</w:t>
            </w:r>
          </w:p>
        </w:tc>
        <w:tc>
          <w:tcPr>
            <w:tcW w:w="950" w:type="dxa"/>
            <w:tcBorders>
              <w:top w:val="nil"/>
              <w:left w:val="nil"/>
              <w:bottom w:val="nil"/>
              <w:right w:val="nil"/>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c>
          <w:tcPr>
            <w:tcW w:w="1183" w:type="dxa"/>
            <w:tcBorders>
              <w:top w:val="nil"/>
              <w:left w:val="nil"/>
              <w:bottom w:val="nil"/>
              <w:right w:val="single" w:sz="4" w:space="0" w:color="auto"/>
            </w:tcBorders>
          </w:tcPr>
          <w:p w:rsidR="00000000" w:rsidRDefault="00BC67ED">
            <w:pPr>
              <w:autoSpaceDE w:val="0"/>
              <w:autoSpaceDN w:val="0"/>
              <w:adjustRightInd w:val="0"/>
              <w:jc w:val="right"/>
              <w:rPr>
                <w:rFonts w:ascii="Arial" w:hAnsi="Arial" w:cs="Arial"/>
                <w:i/>
                <w:sz w:val="20"/>
                <w:szCs w:val="20"/>
              </w:rPr>
            </w:pPr>
          </w:p>
        </w:tc>
      </w:tr>
      <w:tr w:rsidR="00000000">
        <w:tc>
          <w:tcPr>
            <w:tcW w:w="1750" w:type="dxa"/>
            <w:tcBorders>
              <w:top w:val="nil"/>
              <w:left w:val="single" w:sz="4" w:space="0" w:color="auto"/>
              <w:bottom w:val="single" w:sz="4" w:space="0" w:color="auto"/>
              <w:right w:val="single" w:sz="4" w:space="0" w:color="auto"/>
            </w:tcBorders>
            <w:shd w:val="pct15" w:color="auto" w:fill="auto"/>
          </w:tcPr>
          <w:p w:rsidR="00000000" w:rsidRDefault="00BC67ED">
            <w:pPr>
              <w:autoSpaceDE w:val="0"/>
              <w:autoSpaceDN w:val="0"/>
              <w:adjustRightInd w:val="0"/>
              <w:rPr>
                <w:rFonts w:ascii="Arial" w:hAnsi="Arial" w:cs="Arial"/>
                <w:b/>
                <w:i/>
                <w:sz w:val="20"/>
                <w:szCs w:val="20"/>
              </w:rPr>
            </w:pPr>
            <w:r>
              <w:rPr>
                <w:rFonts w:ascii="Arial" w:hAnsi="Arial" w:cs="Arial"/>
                <w:b/>
                <w:i/>
                <w:sz w:val="20"/>
                <w:szCs w:val="20"/>
              </w:rPr>
              <w:t>Histología</w:t>
            </w:r>
          </w:p>
        </w:tc>
        <w:tc>
          <w:tcPr>
            <w:tcW w:w="817" w:type="dxa"/>
            <w:tcBorders>
              <w:top w:val="nil"/>
              <w:left w:val="single" w:sz="4" w:space="0" w:color="auto"/>
              <w:bottom w:val="single" w:sz="4" w:space="0" w:color="auto"/>
              <w:right w:val="nil"/>
            </w:tcBorders>
            <w:shd w:val="pct15" w:color="auto" w:fill="auto"/>
          </w:tcPr>
          <w:p w:rsidR="00000000" w:rsidRDefault="00BC67ED">
            <w:pPr>
              <w:autoSpaceDE w:val="0"/>
              <w:autoSpaceDN w:val="0"/>
              <w:adjustRightInd w:val="0"/>
              <w:jc w:val="center"/>
              <w:rPr>
                <w:rFonts w:ascii="Arial" w:hAnsi="Arial" w:cs="Arial"/>
                <w:b/>
                <w:i/>
              </w:rPr>
            </w:pPr>
            <w:r>
              <w:rPr>
                <w:rFonts w:ascii="Arial" w:hAnsi="Arial" w:cs="Arial"/>
                <w:b/>
                <w:i/>
              </w:rPr>
              <w:t>0,008</w:t>
            </w:r>
          </w:p>
        </w:tc>
        <w:tc>
          <w:tcPr>
            <w:tcW w:w="917" w:type="dxa"/>
            <w:tcBorders>
              <w:top w:val="nil"/>
              <w:left w:val="nil"/>
              <w:bottom w:val="single" w:sz="4" w:space="0" w:color="auto"/>
              <w:right w:val="nil"/>
            </w:tcBorders>
          </w:tcPr>
          <w:p w:rsidR="00000000" w:rsidRDefault="00BC67ED">
            <w:pPr>
              <w:autoSpaceDE w:val="0"/>
              <w:autoSpaceDN w:val="0"/>
              <w:adjustRightInd w:val="0"/>
              <w:jc w:val="right"/>
              <w:rPr>
                <w:rFonts w:ascii="Arial" w:hAnsi="Arial" w:cs="Arial"/>
                <w:i/>
                <w:sz w:val="20"/>
                <w:szCs w:val="20"/>
              </w:rPr>
            </w:pPr>
            <w:r>
              <w:rPr>
                <w:rFonts w:ascii="Arial" w:hAnsi="Arial" w:cs="Arial"/>
                <w:i/>
                <w:sz w:val="20"/>
                <w:szCs w:val="20"/>
              </w:rPr>
              <w:t>-0</w:t>
            </w:r>
            <w:r>
              <w:rPr>
                <w:rFonts w:ascii="Arial" w:hAnsi="Arial" w:cs="Arial"/>
                <w:i/>
                <w:sz w:val="20"/>
                <w:szCs w:val="20"/>
              </w:rPr>
              <w:t>,034</w:t>
            </w:r>
          </w:p>
        </w:tc>
        <w:tc>
          <w:tcPr>
            <w:tcW w:w="950" w:type="dxa"/>
            <w:tcBorders>
              <w:top w:val="nil"/>
              <w:left w:val="nil"/>
              <w:bottom w:val="single" w:sz="4" w:space="0" w:color="auto"/>
              <w:right w:val="nil"/>
            </w:tcBorders>
          </w:tcPr>
          <w:p w:rsidR="00000000" w:rsidRDefault="00BC67ED">
            <w:pPr>
              <w:autoSpaceDE w:val="0"/>
              <w:autoSpaceDN w:val="0"/>
              <w:adjustRightInd w:val="0"/>
              <w:jc w:val="center"/>
              <w:rPr>
                <w:rFonts w:ascii="Arial" w:hAnsi="Arial" w:cs="Arial"/>
                <w:i/>
                <w:sz w:val="20"/>
                <w:szCs w:val="20"/>
              </w:rPr>
            </w:pPr>
            <w:r>
              <w:rPr>
                <w:rFonts w:ascii="Arial" w:hAnsi="Arial" w:cs="Arial"/>
                <w:i/>
                <w:sz w:val="20"/>
                <w:szCs w:val="20"/>
              </w:rPr>
              <w:t>0,018</w:t>
            </w:r>
          </w:p>
        </w:tc>
        <w:tc>
          <w:tcPr>
            <w:tcW w:w="1183" w:type="dxa"/>
            <w:tcBorders>
              <w:top w:val="nil"/>
              <w:left w:val="nil"/>
              <w:bottom w:val="single" w:sz="4" w:space="0" w:color="auto"/>
              <w:right w:val="single" w:sz="4" w:space="0" w:color="auto"/>
            </w:tcBorders>
          </w:tcPr>
          <w:p w:rsidR="00000000" w:rsidRDefault="00BC67ED">
            <w:pPr>
              <w:autoSpaceDE w:val="0"/>
              <w:autoSpaceDN w:val="0"/>
              <w:adjustRightInd w:val="0"/>
              <w:jc w:val="center"/>
              <w:rPr>
                <w:rFonts w:ascii="Arial" w:hAnsi="Arial" w:cs="Arial"/>
                <w:b/>
                <w:i/>
                <w:sz w:val="20"/>
                <w:szCs w:val="20"/>
              </w:rPr>
            </w:pPr>
            <w:r>
              <w:rPr>
                <w:rFonts w:ascii="Arial" w:hAnsi="Arial" w:cs="Arial"/>
                <w:b/>
                <w:i/>
                <w:sz w:val="20"/>
                <w:szCs w:val="20"/>
              </w:rPr>
              <w:t>1</w:t>
            </w:r>
          </w:p>
        </w:tc>
      </w:tr>
    </w:tbl>
    <w:p w:rsidR="00000000" w:rsidRDefault="00BC67ED">
      <w:pPr>
        <w:spacing w:line="480" w:lineRule="auto"/>
        <w:ind w:left="1416"/>
        <w:jc w:val="center"/>
        <w:rPr>
          <w:rFonts w:ascii="Arial" w:hAnsi="Arial" w:cs="Arial"/>
          <w:b/>
        </w:rPr>
      </w:pPr>
    </w:p>
    <w:p w:rsidR="00000000" w:rsidRDefault="00BC67ED">
      <w:pPr>
        <w:ind w:left="708"/>
        <w:jc w:val="both"/>
        <w:rPr>
          <w:rFonts w:ascii="Arial" w:hAnsi="Arial" w:cs="Arial"/>
          <w:i/>
          <w:iCs/>
        </w:rPr>
      </w:pPr>
      <w:r>
        <w:rPr>
          <w:rFonts w:ascii="Arial" w:hAnsi="Arial" w:cs="Arial"/>
          <w:i/>
          <w:iCs/>
        </w:rPr>
        <w:t xml:space="preserve">Mínima Correlación = </w:t>
      </w:r>
      <w:r>
        <w:rPr>
          <w:rFonts w:ascii="Arial" w:hAnsi="Arial" w:cs="Arial"/>
          <w:i/>
          <w:u w:val="single"/>
        </w:rPr>
        <w:t>0,008</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Entonces el determinante de la matriz de correlación es: </w:t>
      </w:r>
    </w:p>
    <w:p w:rsidR="00000000" w:rsidRDefault="00BC67ED">
      <w:pPr>
        <w:spacing w:line="480" w:lineRule="auto"/>
        <w:ind w:left="324"/>
        <w:jc w:val="both"/>
        <w:rPr>
          <w:rFonts w:ascii="Arial" w:hAnsi="Arial" w:cs="Arial"/>
        </w:rPr>
      </w:pPr>
    </w:p>
    <w:p w:rsidR="00000000" w:rsidRDefault="00BC67ED">
      <w:pPr>
        <w:spacing w:line="480" w:lineRule="auto"/>
        <w:jc w:val="center"/>
        <w:rPr>
          <w:rFonts w:ascii="Arial" w:hAnsi="Arial" w:cs="Arial"/>
          <w:b/>
          <w:bCs/>
        </w:rPr>
      </w:pPr>
      <w:r>
        <w:rPr>
          <w:rFonts w:ascii="Arial" w:hAnsi="Arial" w:cs="Arial"/>
          <w:b/>
          <w:bCs/>
        </w:rPr>
        <w:t xml:space="preserve">                                </w:t>
      </w:r>
      <w:r>
        <w:rPr>
          <w:rFonts w:ascii="Arial" w:hAnsi="Arial" w:cs="Arial"/>
          <w:b/>
          <w:bCs/>
          <w:position w:val="-14"/>
        </w:rPr>
        <w:object w:dxaOrig="499" w:dyaOrig="400">
          <v:shape id="_x0000_i1182" type="#_x0000_t75" style="width:24.75pt;height:20.15pt" o:ole="">
            <v:imagedata r:id="rId349" o:title=""/>
          </v:shape>
          <o:OLEObject Type="Embed" ProgID="Equation.3" ShapeID="_x0000_i1182" DrawAspect="Content" ObjectID="_1307787502" r:id="rId350"/>
        </w:object>
      </w:r>
      <w:r>
        <w:rPr>
          <w:rFonts w:ascii="Arial" w:hAnsi="Arial" w:cs="Arial"/>
          <w:b/>
          <w:bCs/>
        </w:rPr>
        <w:t>0.8122</w:t>
      </w:r>
    </w:p>
    <w:p w:rsidR="00000000" w:rsidRDefault="00BC67ED">
      <w:pPr>
        <w:spacing w:line="480" w:lineRule="auto"/>
        <w:jc w:val="center"/>
        <w:rPr>
          <w:rFonts w:ascii="Arial" w:hAnsi="Arial" w:cs="Arial"/>
          <w:b/>
          <w:bCs/>
        </w:rPr>
      </w:pPr>
    </w:p>
    <w:p w:rsidR="00000000" w:rsidRDefault="00BC67ED">
      <w:pPr>
        <w:spacing w:line="480" w:lineRule="auto"/>
        <w:ind w:left="708"/>
        <w:jc w:val="both"/>
        <w:rPr>
          <w:rFonts w:ascii="Arial" w:hAnsi="Arial" w:cs="Arial"/>
        </w:rPr>
      </w:pPr>
      <w:r>
        <w:rPr>
          <w:rFonts w:ascii="Arial" w:hAnsi="Arial" w:cs="Arial"/>
        </w:rPr>
        <w:t xml:space="preserve">Pero con este valor no puedo afirmar que debo hacer un análisis de componentes principales </w:t>
      </w:r>
      <w:r>
        <w:rPr>
          <w:rFonts w:ascii="Arial" w:hAnsi="Arial" w:cs="Arial"/>
        </w:rPr>
        <w:t>entonces hay que realizar una prueba de hipótesis.</w:t>
      </w:r>
    </w:p>
    <w:p w:rsidR="00000000" w:rsidRDefault="00BC67ED">
      <w:pPr>
        <w:spacing w:line="480" w:lineRule="auto"/>
        <w:ind w:left="708"/>
        <w:jc w:val="both"/>
        <w:rPr>
          <w:rFonts w:ascii="Arial" w:hAnsi="Arial" w:cs="Arial"/>
        </w:rPr>
      </w:pPr>
      <w:r>
        <w:rPr>
          <w:rFonts w:ascii="Arial" w:hAnsi="Arial" w:cs="Arial"/>
        </w:rPr>
        <w:lastRenderedPageBreak/>
        <w:t>Con un grado de significancía del (1-</w:t>
      </w:r>
      <w:r>
        <w:rPr>
          <w:rFonts w:ascii="Arial" w:hAnsi="Arial" w:cs="Arial"/>
          <w:position w:val="-6"/>
        </w:rPr>
        <w:object w:dxaOrig="220" w:dyaOrig="220">
          <v:shape id="_x0000_i1183" type="#_x0000_t75" style="width:10.95pt;height:10.95pt" o:ole="">
            <v:imagedata r:id="rId351" o:title=""/>
          </v:shape>
          <o:OLEObject Type="Embed" ProgID="Equation.3" ShapeID="_x0000_i1183" DrawAspect="Content" ObjectID="_1307787503" r:id="rId352"/>
        </w:object>
      </w:r>
      <w:r>
        <w:rPr>
          <w:rFonts w:ascii="Arial" w:hAnsi="Arial" w:cs="Arial"/>
        </w:rPr>
        <w:t xml:space="preserve">) 100% </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bCs/>
        </w:rPr>
      </w:pPr>
      <w:r>
        <w:rPr>
          <w:rFonts w:ascii="Arial" w:hAnsi="Arial" w:cs="Arial"/>
          <w:b/>
          <w:bCs/>
        </w:rPr>
        <w:t>H</w:t>
      </w:r>
      <w:r>
        <w:rPr>
          <w:rFonts w:ascii="Arial" w:hAnsi="Arial" w:cs="Arial"/>
          <w:b/>
          <w:bCs/>
          <w:vertAlign w:val="subscript"/>
        </w:rPr>
        <w:t>0</w:t>
      </w:r>
      <w:r>
        <w:rPr>
          <w:rFonts w:ascii="Arial" w:hAnsi="Arial" w:cs="Arial"/>
          <w:b/>
          <w:bCs/>
        </w:rPr>
        <w:t>= No se debe realizar un análisis de componentes                principales.</w:t>
      </w:r>
    </w:p>
    <w:p w:rsidR="00000000" w:rsidRDefault="00BC67ED">
      <w:pPr>
        <w:spacing w:line="480" w:lineRule="auto"/>
        <w:ind w:left="708"/>
        <w:jc w:val="center"/>
        <w:rPr>
          <w:rFonts w:ascii="Arial" w:hAnsi="Arial" w:cs="Arial"/>
          <w:b/>
          <w:bCs/>
        </w:rPr>
      </w:pPr>
      <w:r>
        <w:rPr>
          <w:rFonts w:ascii="Arial" w:hAnsi="Arial" w:cs="Arial"/>
          <w:b/>
          <w:bCs/>
        </w:rPr>
        <w:t>Vs.</w:t>
      </w:r>
    </w:p>
    <w:p w:rsidR="00000000" w:rsidRDefault="00BC67ED">
      <w:pPr>
        <w:spacing w:line="480" w:lineRule="auto"/>
        <w:ind w:left="708"/>
        <w:jc w:val="both"/>
        <w:rPr>
          <w:rFonts w:ascii="Arial" w:hAnsi="Arial" w:cs="Arial"/>
        </w:rPr>
      </w:pPr>
      <w:r>
        <w:rPr>
          <w:rFonts w:ascii="Arial" w:hAnsi="Arial" w:cs="Arial"/>
          <w:b/>
          <w:bCs/>
        </w:rPr>
        <w:t>H</w:t>
      </w:r>
      <w:r>
        <w:rPr>
          <w:rFonts w:ascii="Arial" w:hAnsi="Arial" w:cs="Arial"/>
          <w:b/>
          <w:bCs/>
          <w:vertAlign w:val="subscript"/>
        </w:rPr>
        <w:t>1</w:t>
      </w:r>
      <w:r>
        <w:rPr>
          <w:rFonts w:ascii="Arial" w:hAnsi="Arial" w:cs="Arial"/>
          <w:b/>
          <w:bCs/>
        </w:rPr>
        <w:t>= Se debe realizar un análisis de componentes princ</w:t>
      </w:r>
      <w:r>
        <w:rPr>
          <w:rFonts w:ascii="Arial" w:hAnsi="Arial" w:cs="Arial"/>
          <w:b/>
          <w:bCs/>
        </w:rPr>
        <w:t>ipales.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b/>
          <w:bCs/>
        </w:rPr>
      </w:pPr>
      <w:r>
        <w:rPr>
          <w:rFonts w:ascii="Arial" w:hAnsi="Arial" w:cs="Arial"/>
          <w:b/>
          <w:bCs/>
        </w:rPr>
        <w:t>Región de rechazo:</w:t>
      </w:r>
    </w:p>
    <w:p w:rsidR="00000000" w:rsidRDefault="00BC67ED">
      <w:pPr>
        <w:jc w:val="center"/>
      </w:pPr>
    </w:p>
    <w:p w:rsidR="00000000" w:rsidRDefault="00BC67ED">
      <w:pPr>
        <w:jc w:val="center"/>
      </w:pPr>
      <w:r>
        <w:t xml:space="preserve">                     </w:t>
      </w:r>
      <w:r>
        <w:rPr>
          <w:position w:val="-14"/>
        </w:rPr>
        <w:object w:dxaOrig="2079" w:dyaOrig="400">
          <v:shape id="_x0000_i1184" type="#_x0000_t75" style="width:160.15pt;height:27.05pt" o:ole="">
            <v:imagedata r:id="rId353" o:title=""/>
          </v:shape>
          <o:OLEObject Type="Embed" ProgID="Equation.3" ShapeID="_x0000_i1184" DrawAspect="Content" ObjectID="_1307787504" r:id="rId354"/>
        </w:object>
      </w:r>
      <w:r>
        <w:t xml:space="preserve">     ;       </w:t>
      </w:r>
      <w:r>
        <w:rPr>
          <w:position w:val="-10"/>
        </w:rPr>
        <w:object w:dxaOrig="2220" w:dyaOrig="320">
          <v:shape id="_x0000_i1185" type="#_x0000_t75" style="width:111.15pt;height:16.15pt" o:ole="">
            <v:imagedata r:id="rId355" o:title=""/>
          </v:shape>
          <o:OLEObject Type="Embed" ProgID="Equation.3" ShapeID="_x0000_i1185" DrawAspect="Content" ObjectID="_1307787505" r:id="rId356"/>
        </w:object>
      </w:r>
      <w:r>
        <w:t xml:space="preserve">;   </w:t>
      </w:r>
    </w:p>
    <w:p w:rsidR="00000000" w:rsidRDefault="00BC67ED">
      <w:pPr>
        <w:jc w:val="center"/>
      </w:pPr>
    </w:p>
    <w:p w:rsidR="00000000" w:rsidRDefault="00BC67ED">
      <w:pPr>
        <w:jc w:val="center"/>
      </w:pPr>
      <w:r>
        <w:t xml:space="preserve">                          </w:t>
      </w:r>
      <w:r>
        <w:rPr>
          <w:position w:val="-14"/>
        </w:rPr>
        <w:object w:dxaOrig="720" w:dyaOrig="400">
          <v:shape id="_x0000_i1186" type="#_x0000_t75" style="width:36.3pt;height:20.15pt" o:ole="">
            <v:imagedata r:id="rId357" o:title=""/>
          </v:shape>
          <o:OLEObject Type="Embed" ProgID="Equation.3" ShapeID="_x0000_i1186" DrawAspect="Content" ObjectID="_1307787506" r:id="rId358"/>
        </w:object>
      </w:r>
    </w:p>
    <w:p w:rsidR="00000000" w:rsidRDefault="00BC67ED">
      <w:pPr>
        <w:jc w:val="both"/>
      </w:pPr>
    </w:p>
    <w:p w:rsidR="00000000" w:rsidRDefault="00BC67ED">
      <w:pPr>
        <w:jc w:val="both"/>
      </w:pPr>
      <w:r>
        <w:t xml:space="preserve">                                                     </w:t>
      </w:r>
      <w:r>
        <w:rPr>
          <w:position w:val="-10"/>
        </w:rPr>
        <w:object w:dxaOrig="3500" w:dyaOrig="320">
          <v:shape id="_x0000_i1187" type="#_x0000_t75" style="width:175.1pt;height:16.15pt" o:ole="">
            <v:imagedata r:id="rId359" o:title=""/>
          </v:shape>
          <o:OLEObject Type="Embed" ProgID="Equation.3" ShapeID="_x0000_i1187" DrawAspect="Content" ObjectID="_1307787507" r:id="rId360"/>
        </w:object>
      </w:r>
      <w:r>
        <w:t xml:space="preserve"> </w:t>
      </w:r>
    </w:p>
    <w:p w:rsidR="00000000" w:rsidRDefault="00BC67ED">
      <w:pPr>
        <w:jc w:val="both"/>
      </w:pPr>
      <w:r>
        <w:t xml:space="preserve">            </w:t>
      </w:r>
      <w:r>
        <w:t xml:space="preserve">      </w:t>
      </w:r>
    </w:p>
    <w:p w:rsidR="00000000" w:rsidRDefault="00BC67ED">
      <w:pPr>
        <w:jc w:val="both"/>
      </w:pPr>
      <w:r>
        <w:t xml:space="preserve">                                                                     </w:t>
      </w:r>
      <w:r>
        <w:rPr>
          <w:position w:val="-10"/>
        </w:rPr>
        <w:object w:dxaOrig="1560" w:dyaOrig="320">
          <v:shape id="_x0000_i1188" type="#_x0000_t75" style="width:77.75pt;height:16.15pt" o:ole="">
            <v:imagedata r:id="rId361" o:title=""/>
          </v:shape>
          <o:OLEObject Type="Embed" ProgID="Equation.3" ShapeID="_x0000_i1188" DrawAspect="Content" ObjectID="_1307787508" r:id="rId362"/>
        </w:object>
      </w:r>
    </w:p>
    <w:p w:rsidR="00000000" w:rsidRDefault="00BC67ED">
      <w:pPr>
        <w:jc w:val="center"/>
      </w:pPr>
    </w:p>
    <w:p w:rsidR="00000000" w:rsidRDefault="00BC67ED">
      <w:pPr>
        <w:jc w:val="both"/>
      </w:pPr>
      <w:r>
        <w:t xml:space="preserve">                                                </w:t>
      </w:r>
      <w:r>
        <w:rPr>
          <w:position w:val="-10"/>
        </w:rPr>
        <w:object w:dxaOrig="1900" w:dyaOrig="320">
          <v:shape id="_x0000_i1189" type="#_x0000_t75" style="width:124.4pt;height:21.9pt" o:ole="">
            <v:imagedata r:id="rId363" o:title=""/>
          </v:shape>
          <o:OLEObject Type="Embed" ProgID="Equation.3" ShapeID="_x0000_i1189" DrawAspect="Content" ObjectID="_1307787509" r:id="rId364"/>
        </w:object>
      </w:r>
    </w:p>
    <w:p w:rsidR="00000000" w:rsidRDefault="00BC67ED">
      <w:pPr>
        <w:jc w:val="center"/>
      </w:pPr>
    </w:p>
    <w:p w:rsidR="00000000" w:rsidRDefault="00BC67ED">
      <w:pPr>
        <w:jc w:val="both"/>
      </w:pPr>
    </w:p>
    <w:p w:rsidR="00000000" w:rsidRDefault="00BC67ED">
      <w:pPr>
        <w:ind w:left="1032"/>
        <w:jc w:val="both"/>
      </w:pPr>
    </w:p>
    <w:p w:rsidR="00000000" w:rsidRDefault="00BC67ED">
      <w:pPr>
        <w:ind w:left="708"/>
        <w:jc w:val="both"/>
        <w:rPr>
          <w:rFonts w:ascii="Arial" w:hAnsi="Arial" w:cs="Arial"/>
        </w:rPr>
      </w:pPr>
      <w:r>
        <w:rPr>
          <w:rFonts w:ascii="Arial" w:hAnsi="Arial" w:cs="Arial"/>
        </w:rPr>
        <w:t xml:space="preserve">Si </w:t>
      </w:r>
      <w:r>
        <w:rPr>
          <w:rFonts w:ascii="Arial" w:hAnsi="Arial" w:cs="Arial"/>
          <w:position w:val="-6"/>
        </w:rPr>
        <w:object w:dxaOrig="900" w:dyaOrig="279">
          <v:shape id="_x0000_i1190" type="#_x0000_t75" style="width:44.95pt;height:13.8pt" o:ole="">
            <v:imagedata r:id="rId365" o:title=""/>
          </v:shape>
          <o:OLEObject Type="Embed" ProgID="Equation.3" ShapeID="_x0000_i1190" DrawAspect="Content" ObjectID="_1307787510" r:id="rId366"/>
        </w:object>
      </w:r>
      <w:r>
        <w:rPr>
          <w:rFonts w:ascii="Arial" w:hAnsi="Arial" w:cs="Arial"/>
        </w:rPr>
        <w:t xml:space="preserve"> entonces (1-</w:t>
      </w:r>
      <w:r>
        <w:rPr>
          <w:rFonts w:ascii="Arial" w:hAnsi="Arial" w:cs="Arial"/>
          <w:position w:val="-6"/>
        </w:rPr>
        <w:object w:dxaOrig="220" w:dyaOrig="220">
          <v:shape id="_x0000_i1191" type="#_x0000_t75" style="width:10.95pt;height:10.95pt" o:ole="">
            <v:imagedata r:id="rId351" o:title=""/>
          </v:shape>
          <o:OLEObject Type="Embed" ProgID="Equation.3" ShapeID="_x0000_i1191" DrawAspect="Content" ObjectID="_1307787511" r:id="rId367"/>
        </w:object>
      </w:r>
      <w:r>
        <w:rPr>
          <w:rFonts w:ascii="Arial" w:hAnsi="Arial" w:cs="Arial"/>
        </w:rPr>
        <w:t>) = 0.05</w:t>
      </w:r>
    </w:p>
    <w:p w:rsidR="00000000" w:rsidRDefault="00BC67ED">
      <w:pPr>
        <w:ind w:left="708"/>
        <w:jc w:val="both"/>
        <w:rPr>
          <w:sz w:val="22"/>
        </w:rPr>
      </w:pPr>
    </w:p>
    <w:p w:rsidR="00000000" w:rsidRDefault="00BC67ED">
      <w:pPr>
        <w:ind w:left="708"/>
        <w:jc w:val="center"/>
        <w:rPr>
          <w:sz w:val="22"/>
        </w:rPr>
      </w:pPr>
      <w:r>
        <w:rPr>
          <w:sz w:val="22"/>
        </w:rPr>
        <w:t xml:space="preserve">        </w:t>
      </w:r>
      <w:r>
        <w:rPr>
          <w:sz w:val="22"/>
        </w:rPr>
        <w:t xml:space="preserve">                </w:t>
      </w:r>
      <w:r>
        <w:rPr>
          <w:position w:val="-14"/>
          <w:sz w:val="22"/>
        </w:rPr>
        <w:object w:dxaOrig="4060" w:dyaOrig="400">
          <v:shape id="_x0000_i1192" type="#_x0000_t75" style="width:251.15pt;height:21.9pt" o:ole="">
            <v:imagedata r:id="rId368" o:title=""/>
          </v:shape>
          <o:OLEObject Type="Embed" ProgID="Equation.3" ShapeID="_x0000_i1192" DrawAspect="Content" ObjectID="_1307787512" r:id="rId369"/>
        </w:object>
      </w:r>
    </w:p>
    <w:p w:rsidR="00000000" w:rsidRDefault="00BC67ED">
      <w:pPr>
        <w:ind w:left="708"/>
        <w:jc w:val="both"/>
        <w:rPr>
          <w:rFonts w:ascii="Arial" w:hAnsi="Arial" w:cs="Arial"/>
          <w:b/>
          <w:bCs/>
        </w:rPr>
      </w:pPr>
      <w:r>
        <w:rPr>
          <w:rFonts w:ascii="Arial" w:hAnsi="Arial" w:cs="Arial"/>
          <w:b/>
          <w:bCs/>
        </w:rPr>
        <w:t>Entonces:</w:t>
      </w:r>
    </w:p>
    <w:p w:rsidR="00000000" w:rsidRDefault="00BC67ED">
      <w:pPr>
        <w:ind w:left="708"/>
        <w:jc w:val="both"/>
        <w:rPr>
          <w:sz w:val="22"/>
        </w:rPr>
      </w:pPr>
    </w:p>
    <w:p w:rsidR="00000000" w:rsidRDefault="00BC67ED">
      <w:pPr>
        <w:ind w:left="708"/>
        <w:jc w:val="both"/>
        <w:rPr>
          <w:sz w:val="22"/>
        </w:rPr>
      </w:pPr>
      <w:r>
        <w:rPr>
          <w:sz w:val="22"/>
        </w:rPr>
        <w:t xml:space="preserve">                                      </w:t>
      </w:r>
      <w:r>
        <w:rPr>
          <w:position w:val="-10"/>
          <w:sz w:val="22"/>
        </w:rPr>
        <w:object w:dxaOrig="1800" w:dyaOrig="320">
          <v:shape id="_x0000_i1193" type="#_x0000_t75" style="width:138.8pt;height:21.9pt" o:ole="">
            <v:imagedata r:id="rId370" o:title=""/>
          </v:shape>
          <o:OLEObject Type="Embed" ProgID="Equation.3" ShapeID="_x0000_i1193" DrawAspect="Content" ObjectID="_1307787513" r:id="rId371"/>
        </w:object>
      </w:r>
    </w:p>
    <w:p w:rsidR="00000000" w:rsidRDefault="00BC67ED">
      <w:pPr>
        <w:ind w:left="708"/>
        <w:jc w:val="both"/>
        <w:rPr>
          <w:sz w:val="22"/>
        </w:rPr>
      </w:pPr>
    </w:p>
    <w:p w:rsidR="00000000" w:rsidRDefault="00BC67ED">
      <w:pPr>
        <w:spacing w:line="480" w:lineRule="auto"/>
        <w:ind w:left="708"/>
        <w:jc w:val="both"/>
        <w:rPr>
          <w:rFonts w:ascii="Arial" w:hAnsi="Arial" w:cs="Arial"/>
        </w:rPr>
      </w:pPr>
      <w:r>
        <w:rPr>
          <w:rFonts w:ascii="Arial" w:hAnsi="Arial" w:cs="Arial"/>
        </w:rPr>
        <w:t>Con este resultado podemos decir que se acepta la hipótesis nula a favor de la hipótesis alternativa.</w:t>
      </w:r>
    </w:p>
    <w:p w:rsidR="00000000" w:rsidRDefault="00BC67ED">
      <w:pPr>
        <w:spacing w:line="480" w:lineRule="auto"/>
        <w:ind w:left="708"/>
        <w:jc w:val="both"/>
        <w:rPr>
          <w:rFonts w:ascii="Arial" w:hAnsi="Arial" w:cs="Arial"/>
        </w:rPr>
      </w:pPr>
      <w:r>
        <w:rPr>
          <w:rFonts w:ascii="Arial" w:hAnsi="Arial" w:cs="Arial"/>
        </w:rPr>
        <w:lastRenderedPageBreak/>
        <w:t>Lo que quiere decir que no se debe reali</w:t>
      </w:r>
      <w:r>
        <w:rPr>
          <w:rFonts w:ascii="Arial" w:hAnsi="Arial" w:cs="Arial"/>
        </w:rPr>
        <w:t>zar un análisis de componentes principales y es conveniente usar otro método multivariado para el estudio y este puede ser el análisis de correspondencias.</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 xml:space="preserve">La tabla </w:t>
      </w:r>
      <w:r>
        <w:rPr>
          <w:rFonts w:ascii="Arial" w:hAnsi="Arial" w:cs="Arial"/>
          <w:caps/>
        </w:rPr>
        <w:t>XXXIII,</w:t>
      </w:r>
      <w:r>
        <w:rPr>
          <w:rFonts w:ascii="Arial" w:hAnsi="Arial" w:cs="Arial"/>
          <w:spacing w:val="20"/>
        </w:rPr>
        <w:t xml:space="preserve"> contiene los valores propios de la matriz de varianzas y covarianzas  de los datos</w:t>
      </w:r>
      <w:r>
        <w:rPr>
          <w:rFonts w:ascii="Arial" w:hAnsi="Arial" w:cs="Arial"/>
          <w:spacing w:val="20"/>
        </w:rPr>
        <w:t xml:space="preserve"> estandarizados, incluye además el porcentaje de explicación de cada componente, así como también el total del porcentaje de explicación.</w:t>
      </w:r>
    </w:p>
    <w:p w:rsidR="00000000" w:rsidRDefault="00BC67ED">
      <w:pPr>
        <w:spacing w:line="480" w:lineRule="auto"/>
        <w:ind w:left="708"/>
        <w:jc w:val="both"/>
        <w:rPr>
          <w:rFonts w:ascii="Arial" w:hAnsi="Arial" w:cs="Arial"/>
          <w:spacing w:val="20"/>
        </w:rPr>
      </w:pPr>
    </w:p>
    <w:p w:rsidR="00000000" w:rsidRDefault="00BC67ED">
      <w:pPr>
        <w:spacing w:line="480" w:lineRule="auto"/>
        <w:ind w:left="708"/>
        <w:jc w:val="both"/>
        <w:rPr>
          <w:rFonts w:ascii="Arial" w:hAnsi="Arial" w:cs="Arial"/>
          <w:spacing w:val="20"/>
        </w:rPr>
      </w:pPr>
      <w:r>
        <w:rPr>
          <w:rFonts w:ascii="Arial" w:hAnsi="Arial" w:cs="Arial"/>
          <w:spacing w:val="20"/>
        </w:rPr>
        <w:t>Vemos que la primera componente explica 36.5% del total de la información, la segunda componente  25.2%, y así sucesi</w:t>
      </w:r>
      <w:r>
        <w:rPr>
          <w:rFonts w:ascii="Arial" w:hAnsi="Arial" w:cs="Arial"/>
          <w:spacing w:val="20"/>
        </w:rPr>
        <w:t>vamente.</w:t>
      </w:r>
    </w:p>
    <w:p w:rsidR="00000000" w:rsidRDefault="00BC67ED">
      <w:pPr>
        <w:spacing w:line="480" w:lineRule="auto"/>
        <w:ind w:left="708"/>
        <w:jc w:val="center"/>
        <w:rPr>
          <w:rFonts w:ascii="Arial" w:hAnsi="Arial" w:cs="Arial"/>
          <w:spacing w:val="20"/>
        </w:rPr>
      </w:pPr>
      <w:r>
        <w:rPr>
          <w:rFonts w:ascii="Arial" w:hAnsi="Arial" w:cs="Arial"/>
          <w:b/>
          <w:caps/>
        </w:rPr>
        <w:t>Tabla XXXV</w:t>
      </w:r>
    </w:p>
    <w:p w:rsidR="00000000" w:rsidRDefault="00BC67ED">
      <w:pPr>
        <w:ind w:left="708"/>
        <w:jc w:val="center"/>
        <w:rPr>
          <w:rFonts w:ascii="Arial" w:hAnsi="Arial" w:cs="Arial"/>
          <w:b/>
          <w:caps/>
        </w:rPr>
      </w:pPr>
      <w:r>
        <w:rPr>
          <w:rFonts w:ascii="Arial" w:hAnsi="Arial" w:cs="Arial"/>
          <w:b/>
          <w:caps/>
        </w:rPr>
        <w:t>Variabilidad de Explicación de las</w:t>
      </w:r>
    </w:p>
    <w:p w:rsidR="00000000" w:rsidRDefault="00BC67ED">
      <w:pPr>
        <w:ind w:left="708"/>
        <w:jc w:val="center"/>
        <w:rPr>
          <w:rFonts w:ascii="Arial" w:hAnsi="Arial" w:cs="Arial"/>
          <w:b/>
          <w:caps/>
        </w:rPr>
      </w:pPr>
      <w:r>
        <w:rPr>
          <w:rFonts w:ascii="Arial" w:hAnsi="Arial" w:cs="Arial"/>
          <w:b/>
          <w:caps/>
        </w:rPr>
        <w:t>componentes Principales</w:t>
      </w:r>
    </w:p>
    <w:p w:rsidR="00000000" w:rsidRDefault="00BC67ED">
      <w:pPr>
        <w:ind w:left="708"/>
        <w:jc w:val="center"/>
        <w:rPr>
          <w:rFonts w:ascii="Arial" w:hAnsi="Arial" w:cs="Arial"/>
          <w:b/>
        </w:rPr>
      </w:pPr>
      <w:r>
        <w:rPr>
          <w:rFonts w:ascii="Arial" w:hAnsi="Arial" w:cs="Arial"/>
          <w:b/>
        </w:rPr>
        <w:t>(Datos Estandarizados)</w:t>
      </w:r>
    </w:p>
    <w:p w:rsidR="00000000" w:rsidRDefault="00BC67ED">
      <w:pPr>
        <w:autoSpaceDE w:val="0"/>
        <w:autoSpaceDN w:val="0"/>
        <w:adjustRightInd w:val="0"/>
        <w:rPr>
          <w:rFonts w:ascii="Courier New" w:hAnsi="Courier New" w:cs="Courier New"/>
          <w:sz w:val="18"/>
          <w:szCs w:val="18"/>
        </w:rPr>
      </w:pPr>
    </w:p>
    <w:tbl>
      <w:tblPr>
        <w:tblW w:w="4983" w:type="dxa"/>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951"/>
        <w:gridCol w:w="951"/>
        <w:gridCol w:w="951"/>
        <w:gridCol w:w="951"/>
      </w:tblGrid>
      <w:tr w:rsidR="00000000">
        <w:tc>
          <w:tcPr>
            <w:tcW w:w="1523" w:type="dxa"/>
            <w:tcBorders>
              <w:bottom w:val="single" w:sz="4" w:space="0" w:color="auto"/>
              <w:right w:val="single" w:sz="4" w:space="0" w:color="auto"/>
            </w:tcBorders>
          </w:tcPr>
          <w:p w:rsidR="00000000" w:rsidRDefault="00BC67ED">
            <w:pPr>
              <w:autoSpaceDE w:val="0"/>
              <w:autoSpaceDN w:val="0"/>
              <w:adjustRightInd w:val="0"/>
              <w:rPr>
                <w:rFonts w:ascii="Arial" w:hAnsi="Arial" w:cs="Arial"/>
              </w:rPr>
            </w:pPr>
          </w:p>
        </w:tc>
        <w:tc>
          <w:tcPr>
            <w:tcW w:w="865" w:type="dxa"/>
            <w:tcBorders>
              <w:left w:val="single" w:sz="4" w:space="0" w:color="auto"/>
              <w:bottom w:val="single" w:sz="4" w:space="0" w:color="auto"/>
            </w:tcBorders>
          </w:tcPr>
          <w:p w:rsidR="00000000" w:rsidRDefault="00BC67ED">
            <w:pPr>
              <w:autoSpaceDE w:val="0"/>
              <w:autoSpaceDN w:val="0"/>
              <w:adjustRightInd w:val="0"/>
              <w:jc w:val="center"/>
              <w:rPr>
                <w:rFonts w:ascii="Arial" w:hAnsi="Arial" w:cs="Arial"/>
                <w:b/>
                <w:bCs/>
                <w:lang w:val="en-US"/>
              </w:rPr>
            </w:pPr>
            <w:r>
              <w:rPr>
                <w:rFonts w:ascii="Arial" w:hAnsi="Arial" w:cs="Arial"/>
                <w:b/>
                <w:bCs/>
                <w:position w:val="-10"/>
                <w:lang w:val="en-US"/>
              </w:rPr>
              <w:object w:dxaOrig="260" w:dyaOrig="340">
                <v:shape id="_x0000_i1194" type="#_x0000_t75" style="width:21.3pt;height:17.3pt" o:ole="">
                  <v:imagedata r:id="rId325" o:title=""/>
                </v:shape>
                <o:OLEObject Type="Embed" ProgID="Equation.3" ShapeID="_x0000_i1194" DrawAspect="Content" ObjectID="_1307787514" r:id="rId372"/>
              </w:object>
            </w:r>
          </w:p>
        </w:tc>
        <w:tc>
          <w:tcPr>
            <w:tcW w:w="865"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0"/>
                <w:lang w:val="en-US"/>
              </w:rPr>
              <w:object w:dxaOrig="279" w:dyaOrig="340">
                <v:shape id="_x0000_i1195" type="#_x0000_t75" style="width:13.8pt;height:17.3pt" o:ole="">
                  <v:imagedata r:id="rId327" o:title=""/>
                </v:shape>
                <o:OLEObject Type="Embed" ProgID="Equation.3" ShapeID="_x0000_i1195" DrawAspect="Content" ObjectID="_1307787515" r:id="rId373"/>
              </w:object>
            </w:r>
          </w:p>
        </w:tc>
        <w:tc>
          <w:tcPr>
            <w:tcW w:w="865"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2"/>
                <w:lang w:val="en-US"/>
              </w:rPr>
              <w:object w:dxaOrig="279" w:dyaOrig="360">
                <v:shape id="_x0000_i1196" type="#_x0000_t75" style="width:13.8pt;height:17.85pt" o:ole="">
                  <v:imagedata r:id="rId329" o:title=""/>
                </v:shape>
                <o:OLEObject Type="Embed" ProgID="Equation.3" ShapeID="_x0000_i1196" DrawAspect="Content" ObjectID="_1307787516" r:id="rId374"/>
              </w:object>
            </w:r>
          </w:p>
        </w:tc>
        <w:tc>
          <w:tcPr>
            <w:tcW w:w="865" w:type="dxa"/>
            <w:tcBorders>
              <w:bottom w:val="single" w:sz="4" w:space="0" w:color="auto"/>
            </w:tcBorders>
          </w:tcPr>
          <w:p w:rsidR="00000000" w:rsidRDefault="00BC67ED">
            <w:pPr>
              <w:autoSpaceDE w:val="0"/>
              <w:autoSpaceDN w:val="0"/>
              <w:adjustRightInd w:val="0"/>
              <w:jc w:val="center"/>
              <w:rPr>
                <w:rFonts w:ascii="Arial" w:hAnsi="Arial" w:cs="Arial"/>
                <w:lang w:val="en-US"/>
              </w:rPr>
            </w:pPr>
            <w:r>
              <w:rPr>
                <w:rFonts w:ascii="Arial" w:hAnsi="Arial" w:cs="Arial"/>
                <w:position w:val="-10"/>
                <w:lang w:val="en-US"/>
              </w:rPr>
              <w:object w:dxaOrig="279" w:dyaOrig="340">
                <v:shape id="_x0000_i1197" type="#_x0000_t75" style="width:13.8pt;height:17.3pt" o:ole="">
                  <v:imagedata r:id="rId331" o:title=""/>
                </v:shape>
                <o:OLEObject Type="Embed" ProgID="Equation.3" ShapeID="_x0000_i1197" DrawAspect="Content" ObjectID="_1307787517" r:id="rId375"/>
              </w:object>
            </w:r>
          </w:p>
        </w:tc>
      </w:tr>
      <w:tr w:rsidR="00000000">
        <w:tc>
          <w:tcPr>
            <w:tcW w:w="1523" w:type="dxa"/>
            <w:tcBorders>
              <w:top w:val="single" w:sz="4" w:space="0" w:color="auto"/>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Eigenvalor</w:t>
            </w:r>
          </w:p>
        </w:tc>
        <w:tc>
          <w:tcPr>
            <w:tcW w:w="865" w:type="dxa"/>
            <w:tcBorders>
              <w:top w:val="single" w:sz="4" w:space="0" w:color="auto"/>
              <w:left w:val="single" w:sz="4" w:space="0" w:color="auto"/>
            </w:tcBorders>
            <w:shd w:val="pct25" w:color="auto" w:fill="auto"/>
          </w:tcPr>
          <w:p w:rsidR="00000000" w:rsidRDefault="00BC67ED">
            <w:pPr>
              <w:autoSpaceDE w:val="0"/>
              <w:autoSpaceDN w:val="0"/>
              <w:adjustRightInd w:val="0"/>
              <w:rPr>
                <w:rFonts w:ascii="Arial" w:hAnsi="Arial" w:cs="Arial"/>
                <w:b/>
                <w:bCs/>
                <w:i/>
                <w:lang w:val="fr-FR"/>
              </w:rPr>
            </w:pPr>
            <w:r>
              <w:rPr>
                <w:rFonts w:ascii="Arial" w:hAnsi="Arial" w:cs="Arial"/>
                <w:b/>
                <w:bCs/>
                <w:i/>
                <w:lang w:val="fr-FR"/>
              </w:rPr>
              <w:t xml:space="preserve">1,4592    </w:t>
            </w:r>
          </w:p>
        </w:tc>
        <w:tc>
          <w:tcPr>
            <w:tcW w:w="865" w:type="dxa"/>
            <w:tcBorders>
              <w:top w:val="single" w:sz="4" w:space="0" w:color="auto"/>
            </w:tcBorders>
            <w:shd w:val="pct25" w:color="auto" w:fill="auto"/>
          </w:tcPr>
          <w:p w:rsidR="00000000" w:rsidRDefault="00BC67ED">
            <w:pPr>
              <w:autoSpaceDE w:val="0"/>
              <w:autoSpaceDN w:val="0"/>
              <w:adjustRightInd w:val="0"/>
              <w:rPr>
                <w:rFonts w:ascii="Arial" w:hAnsi="Arial" w:cs="Arial"/>
                <w:b/>
                <w:bCs/>
                <w:i/>
                <w:lang w:val="fr-FR"/>
              </w:rPr>
            </w:pPr>
            <w:r>
              <w:rPr>
                <w:rFonts w:ascii="Arial" w:hAnsi="Arial" w:cs="Arial"/>
                <w:b/>
                <w:bCs/>
                <w:i/>
                <w:lang w:val="fr-FR"/>
              </w:rPr>
              <w:t xml:space="preserve">1,0072    </w:t>
            </w:r>
          </w:p>
        </w:tc>
        <w:tc>
          <w:tcPr>
            <w:tcW w:w="865" w:type="dxa"/>
            <w:tcBorders>
              <w:top w:val="single" w:sz="4" w:space="0" w:color="auto"/>
            </w:tcBorders>
            <w:shd w:val="pct25" w:color="auto" w:fill="auto"/>
          </w:tcPr>
          <w:p w:rsidR="00000000" w:rsidRDefault="00BC67ED">
            <w:pPr>
              <w:autoSpaceDE w:val="0"/>
              <w:autoSpaceDN w:val="0"/>
              <w:adjustRightInd w:val="0"/>
              <w:rPr>
                <w:rFonts w:ascii="Arial" w:hAnsi="Arial" w:cs="Arial"/>
                <w:b/>
                <w:bCs/>
                <w:i/>
                <w:lang w:val="fr-FR"/>
              </w:rPr>
            </w:pPr>
            <w:r>
              <w:rPr>
                <w:rFonts w:ascii="Arial" w:hAnsi="Arial" w:cs="Arial"/>
                <w:b/>
                <w:bCs/>
                <w:i/>
                <w:lang w:val="fr-FR"/>
              </w:rPr>
              <w:t xml:space="preserve">0,9554    </w:t>
            </w:r>
          </w:p>
        </w:tc>
        <w:tc>
          <w:tcPr>
            <w:tcW w:w="865" w:type="dxa"/>
            <w:tcBorders>
              <w:top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0,5782</w:t>
            </w:r>
          </w:p>
        </w:tc>
      </w:tr>
      <w:tr w:rsidR="00000000">
        <w:tc>
          <w:tcPr>
            <w:tcW w:w="1523"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Pro</w:t>
            </w:r>
            <w:r>
              <w:rPr>
                <w:rFonts w:ascii="Arial" w:hAnsi="Arial" w:cs="Arial"/>
                <w:b/>
                <w:bCs/>
                <w:i/>
                <w:iCs/>
              </w:rPr>
              <w:t>porción</w:t>
            </w:r>
          </w:p>
        </w:tc>
        <w:tc>
          <w:tcPr>
            <w:tcW w:w="865" w:type="dxa"/>
            <w:tcBorders>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 xml:space="preserve">0,365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 xml:space="preserve">0,252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 xml:space="preserve">0,239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0,145</w:t>
            </w:r>
          </w:p>
        </w:tc>
      </w:tr>
      <w:tr w:rsidR="00000000">
        <w:tc>
          <w:tcPr>
            <w:tcW w:w="1523"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Acumulado</w:t>
            </w:r>
          </w:p>
        </w:tc>
        <w:tc>
          <w:tcPr>
            <w:tcW w:w="865" w:type="dxa"/>
            <w:tcBorders>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lang w:val="fr-FR"/>
              </w:rPr>
              <w:t xml:space="preserve">0,365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 xml:space="preserve">0,617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 xml:space="preserve">0,855     </w:t>
            </w:r>
          </w:p>
        </w:tc>
        <w:tc>
          <w:tcPr>
            <w:tcW w:w="865" w:type="dxa"/>
          </w:tcPr>
          <w:p w:rsidR="00000000" w:rsidRDefault="00BC67ED">
            <w:pPr>
              <w:autoSpaceDE w:val="0"/>
              <w:autoSpaceDN w:val="0"/>
              <w:adjustRightInd w:val="0"/>
              <w:rPr>
                <w:rFonts w:ascii="Arial" w:hAnsi="Arial" w:cs="Arial"/>
                <w:i/>
                <w:lang w:val="fr-FR"/>
              </w:rPr>
            </w:pPr>
            <w:r>
              <w:rPr>
                <w:rFonts w:ascii="Arial" w:hAnsi="Arial" w:cs="Arial"/>
                <w:i/>
                <w:lang w:val="fr-FR"/>
              </w:rPr>
              <w:t>1,000</w:t>
            </w:r>
          </w:p>
        </w:tc>
      </w:tr>
    </w:tbl>
    <w:p w:rsidR="00000000" w:rsidRDefault="00BC67ED">
      <w:pPr>
        <w:autoSpaceDE w:val="0"/>
        <w:autoSpaceDN w:val="0"/>
        <w:adjustRightInd w:val="0"/>
        <w:spacing w:line="480" w:lineRule="auto"/>
        <w:ind w:left="708"/>
        <w:jc w:val="both"/>
        <w:rPr>
          <w:rFonts w:ascii="Arial" w:hAnsi="Arial" w:cs="Arial"/>
        </w:rPr>
      </w:pPr>
    </w:p>
    <w:p w:rsidR="00000000" w:rsidRDefault="00BC67ED">
      <w:pPr>
        <w:autoSpaceDE w:val="0"/>
        <w:autoSpaceDN w:val="0"/>
        <w:adjustRightInd w:val="0"/>
        <w:rPr>
          <w:rFonts w:ascii="Courier New" w:hAnsi="Courier New" w:cs="Courier New"/>
          <w:sz w:val="18"/>
          <w:szCs w:val="18"/>
          <w:lang w:val="fr-FR"/>
        </w:rPr>
      </w:pP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En nuestro caso la primera componente principal explica el 36,5% de la variabilidad total.</w:t>
      </w:r>
    </w:p>
    <w:p w:rsidR="00000000" w:rsidRDefault="00BC67ED">
      <w:pPr>
        <w:autoSpaceDE w:val="0"/>
        <w:autoSpaceDN w:val="0"/>
        <w:adjustRightInd w:val="0"/>
        <w:spacing w:line="480" w:lineRule="auto"/>
        <w:ind w:left="708"/>
        <w:jc w:val="both"/>
        <w:rPr>
          <w:rFonts w:ascii="Arial" w:hAnsi="Arial" w:cs="Arial"/>
        </w:rPr>
      </w:pP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La segunda componente principal explica 25,2% de esa variabilidad.</w:t>
      </w:r>
    </w:p>
    <w:p w:rsidR="00000000" w:rsidRDefault="00BC67ED">
      <w:pPr>
        <w:autoSpaceDE w:val="0"/>
        <w:autoSpaceDN w:val="0"/>
        <w:adjustRightInd w:val="0"/>
        <w:spacing w:line="480" w:lineRule="auto"/>
        <w:ind w:left="708"/>
        <w:jc w:val="both"/>
        <w:rPr>
          <w:rFonts w:ascii="Arial" w:hAnsi="Arial" w:cs="Arial"/>
        </w:rPr>
      </w:pP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Pero estas dos primeras componentes principales en conjunto explican el 61,7% de la variabilidad total.</w:t>
      </w:r>
    </w:p>
    <w:p w:rsidR="00000000" w:rsidRDefault="00BC67ED">
      <w:pPr>
        <w:autoSpaceDE w:val="0"/>
        <w:autoSpaceDN w:val="0"/>
        <w:adjustRightInd w:val="0"/>
        <w:spacing w:line="480" w:lineRule="auto"/>
        <w:ind w:left="708"/>
        <w:jc w:val="both"/>
        <w:rPr>
          <w:rFonts w:ascii="Arial" w:hAnsi="Arial" w:cs="Arial"/>
        </w:rPr>
      </w:pP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Observe que las tres primeras componentes principales explican el 85.5% de la variabilidad total, de modo que parecería que los datos de los pintores t</w:t>
      </w:r>
      <w:r>
        <w:rPr>
          <w:rFonts w:ascii="Arial" w:hAnsi="Arial" w:cs="Arial"/>
        </w:rPr>
        <w:t>ienden a caer dentro de un subespacio Tridimensional del espacio muestra 4-dimencional.</w:t>
      </w:r>
    </w:p>
    <w:p w:rsidR="00000000" w:rsidRDefault="00BC67ED">
      <w:pPr>
        <w:spacing w:line="480" w:lineRule="auto"/>
        <w:ind w:left="708"/>
        <w:jc w:val="center"/>
        <w:rPr>
          <w:rFonts w:ascii="Arial" w:hAnsi="Arial" w:cs="Arial"/>
          <w:b/>
          <w:caps/>
        </w:rPr>
      </w:pP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 xml:space="preserve">Al seguir el criterio de los valores propios mayores que 1, decimos que el número óptimo de componentes que debemos retener es tres, con las tres primeras componentes </w:t>
      </w:r>
      <w:r>
        <w:rPr>
          <w:rFonts w:ascii="Arial" w:hAnsi="Arial" w:cs="Arial"/>
        </w:rPr>
        <w:t>principales obtenemos el 85.5% del total de información original.</w:t>
      </w: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El porcentaje que explican las tres primeras componentes es alto, sin embargo el porcentaje de información que se perdería es 14.5%, que es un porcentaje algo significativo.</w:t>
      </w:r>
    </w:p>
    <w:p w:rsidR="00000000" w:rsidRDefault="00BC67ED">
      <w:pPr>
        <w:autoSpaceDE w:val="0"/>
        <w:autoSpaceDN w:val="0"/>
        <w:adjustRightInd w:val="0"/>
        <w:spacing w:line="480" w:lineRule="auto"/>
        <w:ind w:left="708"/>
        <w:jc w:val="both"/>
        <w:rPr>
          <w:rFonts w:ascii="Arial" w:hAnsi="Arial" w:cs="Arial"/>
        </w:rPr>
      </w:pPr>
      <w:r>
        <w:rPr>
          <w:rFonts w:ascii="Arial" w:hAnsi="Arial" w:cs="Arial"/>
        </w:rPr>
        <w:t>En caso de basar</w:t>
      </w:r>
      <w:r>
        <w:rPr>
          <w:rFonts w:ascii="Arial" w:hAnsi="Arial" w:cs="Arial"/>
        </w:rPr>
        <w:t>nos en el método de las raíces latentes, este método nos confirma que debemos retener solo tres componentes, ya que hasta el tercer valor propio notamos el descenso más pronunciado, como lo podemos ver en la figura 4-2.</w:t>
      </w:r>
    </w:p>
    <w:p w:rsidR="00000000" w:rsidRDefault="00BC67ED">
      <w:pPr>
        <w:spacing w:line="480" w:lineRule="auto"/>
        <w:ind w:left="708"/>
        <w:jc w:val="center"/>
        <w:rPr>
          <w:rFonts w:ascii="Arial" w:hAnsi="Arial" w:cs="Arial"/>
          <w:spacing w:val="20"/>
        </w:rPr>
      </w:pPr>
      <w:r>
        <w:rPr>
          <w:rFonts w:ascii="Arial" w:hAnsi="Arial" w:cs="Arial"/>
          <w:b/>
          <w:caps/>
        </w:rPr>
        <w:lastRenderedPageBreak/>
        <w:t>Figura 4-2</w:t>
      </w:r>
    </w:p>
    <w:p w:rsidR="00000000" w:rsidRDefault="00BC67ED">
      <w:pPr>
        <w:spacing w:line="360" w:lineRule="auto"/>
        <w:ind w:left="708"/>
        <w:jc w:val="center"/>
        <w:rPr>
          <w:rFonts w:ascii="Arial" w:hAnsi="Arial" w:cs="Arial"/>
          <w:b/>
          <w:caps/>
        </w:rPr>
      </w:pPr>
      <w:r>
        <w:rPr>
          <w:rFonts w:ascii="Arial" w:hAnsi="Arial" w:cs="Arial"/>
          <w:b/>
          <w:caps/>
        </w:rPr>
        <w:t>Criterio de las Raices la</w:t>
      </w:r>
      <w:r>
        <w:rPr>
          <w:rFonts w:ascii="Arial" w:hAnsi="Arial" w:cs="Arial"/>
          <w:b/>
          <w:caps/>
        </w:rPr>
        <w:t>tentes</w:t>
      </w:r>
    </w:p>
    <w:p w:rsidR="00000000" w:rsidRDefault="00BC67ED">
      <w:pPr>
        <w:spacing w:line="360" w:lineRule="auto"/>
        <w:ind w:left="708"/>
        <w:jc w:val="center"/>
        <w:rPr>
          <w:rFonts w:ascii="Arial" w:hAnsi="Arial" w:cs="Arial"/>
          <w:b/>
        </w:rPr>
      </w:pPr>
      <w:r>
        <w:rPr>
          <w:rFonts w:ascii="Arial" w:hAnsi="Arial" w:cs="Arial"/>
          <w:b/>
        </w:rPr>
        <w:t>(Datos Estandarizados)</w:t>
      </w:r>
    </w:p>
    <w:p w:rsidR="00000000" w:rsidRDefault="00BC67ED">
      <w:pPr>
        <w:spacing w:line="480" w:lineRule="auto"/>
        <w:ind w:left="708"/>
        <w:jc w:val="both"/>
        <w:rPr>
          <w:rFonts w:ascii="Arial" w:hAnsi="Arial" w:cs="Arial"/>
          <w:b/>
        </w:rPr>
      </w:pPr>
      <w:r>
        <w:object w:dxaOrig="7529" w:dyaOrig="5312">
          <v:shape id="_x0000_i1198" type="#_x0000_t75" style="width:376.7pt;height:265.55pt" o:ole="">
            <v:imagedata r:id="rId376" o:title=""/>
          </v:shape>
          <o:OLEObject Type="Embed" ProgID="MinitabGraph.Document" ShapeID="_x0000_i1198" DrawAspect="Content" ObjectID="_1307787518" r:id="rId377">
            <o:FieldCodes>\s</o:FieldCodes>
          </o:OLEObject>
        </w:object>
      </w:r>
    </w:p>
    <w:p w:rsidR="00000000" w:rsidRDefault="00BC67ED">
      <w:pPr>
        <w:spacing w:line="480" w:lineRule="auto"/>
        <w:ind w:left="708"/>
        <w:jc w:val="both"/>
        <w:rPr>
          <w:rFonts w:ascii="Arial" w:hAnsi="Arial" w:cs="Arial"/>
        </w:rPr>
      </w:pPr>
      <w:r>
        <w:rPr>
          <w:rFonts w:ascii="Arial" w:hAnsi="Arial" w:cs="Arial"/>
        </w:rPr>
        <w:t xml:space="preserve">La tabla </w:t>
      </w:r>
      <w:r>
        <w:rPr>
          <w:rFonts w:ascii="Arial" w:hAnsi="Arial" w:cs="Arial"/>
          <w:caps/>
        </w:rPr>
        <w:t>XLII,</w:t>
      </w:r>
      <w:r>
        <w:rPr>
          <w:rFonts w:ascii="Arial" w:hAnsi="Arial" w:cs="Arial"/>
        </w:rPr>
        <w:t xml:space="preserve"> contiene los coeficientes de los vectores propios de la matriz de correlación, dichos coeficientes determinan las componentes principales.</w:t>
      </w:r>
    </w:p>
    <w:p w:rsidR="00000000" w:rsidRDefault="00BC67ED">
      <w:pPr>
        <w:spacing w:line="480" w:lineRule="auto"/>
        <w:ind w:left="1800"/>
        <w:jc w:val="both"/>
        <w:rPr>
          <w:rFonts w:ascii="Arial" w:hAnsi="Arial" w:cs="Arial"/>
        </w:rPr>
      </w:pPr>
    </w:p>
    <w:p w:rsidR="00000000" w:rsidRDefault="00BC67ED">
      <w:pPr>
        <w:spacing w:line="480" w:lineRule="auto"/>
        <w:ind w:left="1800"/>
        <w:jc w:val="center"/>
        <w:rPr>
          <w:rFonts w:ascii="Arial" w:hAnsi="Arial" w:cs="Arial"/>
          <w:b/>
          <w:caps/>
        </w:rPr>
      </w:pPr>
    </w:p>
    <w:p w:rsidR="00000000" w:rsidRDefault="00BC67ED">
      <w:pPr>
        <w:spacing w:line="480" w:lineRule="auto"/>
        <w:ind w:left="1800"/>
        <w:jc w:val="center"/>
        <w:rPr>
          <w:rFonts w:ascii="Arial" w:hAnsi="Arial" w:cs="Arial"/>
          <w:b/>
          <w:caps/>
        </w:rPr>
      </w:pPr>
    </w:p>
    <w:p w:rsidR="00000000" w:rsidRDefault="00BC67ED">
      <w:pPr>
        <w:spacing w:line="480" w:lineRule="auto"/>
        <w:ind w:left="1800"/>
        <w:jc w:val="center"/>
        <w:rPr>
          <w:rFonts w:ascii="Arial" w:hAnsi="Arial" w:cs="Arial"/>
          <w:b/>
          <w:caps/>
        </w:rPr>
      </w:pPr>
    </w:p>
    <w:p w:rsidR="00000000" w:rsidRDefault="00BC67ED">
      <w:pPr>
        <w:spacing w:line="480" w:lineRule="auto"/>
        <w:ind w:left="1800"/>
        <w:jc w:val="center"/>
        <w:rPr>
          <w:rFonts w:ascii="Arial" w:hAnsi="Arial" w:cs="Arial"/>
          <w:b/>
          <w:caps/>
        </w:rPr>
      </w:pPr>
    </w:p>
    <w:p w:rsidR="00000000" w:rsidRDefault="00BC67ED">
      <w:pPr>
        <w:spacing w:line="480" w:lineRule="auto"/>
        <w:ind w:left="1800"/>
        <w:jc w:val="center"/>
        <w:rPr>
          <w:rFonts w:ascii="Arial" w:hAnsi="Arial" w:cs="Arial"/>
          <w:b/>
          <w:caps/>
        </w:rPr>
      </w:pPr>
    </w:p>
    <w:p w:rsidR="00000000" w:rsidRDefault="00BC67ED">
      <w:pPr>
        <w:spacing w:line="480" w:lineRule="auto"/>
        <w:ind w:left="1800"/>
        <w:jc w:val="center"/>
        <w:rPr>
          <w:rFonts w:ascii="Arial" w:hAnsi="Arial" w:cs="Arial"/>
          <w:b/>
          <w:caps/>
        </w:rPr>
      </w:pPr>
    </w:p>
    <w:p w:rsidR="00000000" w:rsidRDefault="00BC67ED">
      <w:pPr>
        <w:ind w:left="708"/>
        <w:jc w:val="center"/>
        <w:rPr>
          <w:rFonts w:ascii="Arial" w:hAnsi="Arial" w:cs="Arial"/>
          <w:spacing w:val="20"/>
        </w:rPr>
      </w:pPr>
      <w:r>
        <w:rPr>
          <w:rFonts w:ascii="Arial" w:hAnsi="Arial" w:cs="Arial"/>
          <w:b/>
          <w:caps/>
        </w:rPr>
        <w:lastRenderedPageBreak/>
        <w:t>Tabla XXXVI</w:t>
      </w:r>
    </w:p>
    <w:p w:rsidR="00000000" w:rsidRDefault="00BC67ED">
      <w:pPr>
        <w:ind w:left="708"/>
        <w:jc w:val="center"/>
        <w:rPr>
          <w:rFonts w:ascii="Arial" w:hAnsi="Arial" w:cs="Arial"/>
          <w:b/>
          <w:caps/>
        </w:rPr>
      </w:pPr>
      <w:r>
        <w:rPr>
          <w:rFonts w:ascii="Arial" w:hAnsi="Arial" w:cs="Arial"/>
          <w:b/>
          <w:caps/>
        </w:rPr>
        <w:t xml:space="preserve">Variabilidad de </w:t>
      </w:r>
      <w:r>
        <w:rPr>
          <w:rFonts w:ascii="Arial" w:hAnsi="Arial" w:cs="Arial"/>
          <w:b/>
          <w:caps/>
        </w:rPr>
        <w:t>Componentes Principales</w:t>
      </w:r>
    </w:p>
    <w:p w:rsidR="00000000" w:rsidRDefault="00BC67ED">
      <w:pPr>
        <w:ind w:left="708"/>
        <w:jc w:val="center"/>
        <w:rPr>
          <w:rFonts w:ascii="Arial" w:hAnsi="Arial" w:cs="Arial"/>
          <w:b/>
        </w:rPr>
      </w:pPr>
      <w:r>
        <w:rPr>
          <w:rFonts w:ascii="Arial" w:hAnsi="Arial" w:cs="Arial"/>
          <w:b/>
        </w:rPr>
        <w:t>(Datos Estandarizados)</w:t>
      </w:r>
    </w:p>
    <w:p w:rsidR="00000000" w:rsidRDefault="00BC67ED">
      <w:pPr>
        <w:autoSpaceDE w:val="0"/>
        <w:autoSpaceDN w:val="0"/>
        <w:adjustRightInd w:val="0"/>
        <w:rPr>
          <w:rFonts w:ascii="Courier New" w:hAnsi="Courier New" w:cs="Courier New"/>
          <w:sz w:val="18"/>
          <w:szCs w:val="18"/>
        </w:rPr>
      </w:pPr>
    </w:p>
    <w:tbl>
      <w:tblPr>
        <w:tblW w:w="6686"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4"/>
        <w:gridCol w:w="1322"/>
        <w:gridCol w:w="1053"/>
        <w:gridCol w:w="1030"/>
        <w:gridCol w:w="1357"/>
      </w:tblGrid>
      <w:tr w:rsidR="00000000">
        <w:tc>
          <w:tcPr>
            <w:tcW w:w="1924" w:type="dxa"/>
            <w:tcBorders>
              <w:bottom w:val="single" w:sz="4" w:space="0" w:color="auto"/>
              <w:right w:val="single" w:sz="4" w:space="0" w:color="auto"/>
            </w:tcBorders>
          </w:tcPr>
          <w:p w:rsidR="00000000" w:rsidRDefault="00BC67ED">
            <w:pPr>
              <w:autoSpaceDE w:val="0"/>
              <w:autoSpaceDN w:val="0"/>
              <w:adjustRightInd w:val="0"/>
              <w:rPr>
                <w:rFonts w:ascii="Arial" w:hAnsi="Arial" w:cs="Arial"/>
                <w:b/>
                <w:lang w:val="fr-FR"/>
              </w:rPr>
            </w:pPr>
            <w:r>
              <w:rPr>
                <w:rFonts w:ascii="Arial" w:hAnsi="Arial" w:cs="Arial"/>
                <w:b/>
                <w:lang w:val="fr-FR"/>
              </w:rPr>
              <w:t>Variable</w:t>
            </w:r>
          </w:p>
        </w:tc>
        <w:tc>
          <w:tcPr>
            <w:tcW w:w="1322" w:type="dxa"/>
            <w:tcBorders>
              <w:left w:val="single" w:sz="4" w:space="0" w:color="auto"/>
              <w:bottom w:val="single" w:sz="4" w:space="0" w:color="auto"/>
            </w:tcBorders>
            <w:shd w:val="pct25" w:color="auto" w:fill="auto"/>
          </w:tcPr>
          <w:p w:rsidR="00000000" w:rsidRDefault="00BC67ED">
            <w:pPr>
              <w:autoSpaceDE w:val="0"/>
              <w:autoSpaceDN w:val="0"/>
              <w:adjustRightInd w:val="0"/>
              <w:jc w:val="center"/>
              <w:rPr>
                <w:rFonts w:ascii="Arial" w:hAnsi="Arial" w:cs="Arial"/>
                <w:b/>
                <w:bCs/>
                <w:i/>
                <w:iCs/>
              </w:rPr>
            </w:pPr>
            <w:r>
              <w:rPr>
                <w:rFonts w:ascii="Arial" w:hAnsi="Arial" w:cs="Arial"/>
                <w:b/>
                <w:bCs/>
                <w:i/>
                <w:iCs/>
              </w:rPr>
              <w:t>PC1</w:t>
            </w:r>
          </w:p>
        </w:tc>
        <w:tc>
          <w:tcPr>
            <w:tcW w:w="1053" w:type="dxa"/>
            <w:tcBorders>
              <w:bottom w:val="single" w:sz="4" w:space="0" w:color="auto"/>
            </w:tcBorders>
            <w:shd w:val="pct25" w:color="auto" w:fill="auto"/>
          </w:tcPr>
          <w:p w:rsidR="00000000" w:rsidRDefault="00BC67ED">
            <w:pPr>
              <w:autoSpaceDE w:val="0"/>
              <w:autoSpaceDN w:val="0"/>
              <w:adjustRightInd w:val="0"/>
              <w:jc w:val="center"/>
              <w:rPr>
                <w:rFonts w:ascii="Arial" w:hAnsi="Arial" w:cs="Arial"/>
                <w:b/>
                <w:i/>
                <w:iCs/>
              </w:rPr>
            </w:pPr>
            <w:r>
              <w:rPr>
                <w:rFonts w:ascii="Arial" w:hAnsi="Arial" w:cs="Arial"/>
                <w:b/>
                <w:i/>
                <w:iCs/>
              </w:rPr>
              <w:t>PC2</w:t>
            </w:r>
          </w:p>
        </w:tc>
        <w:tc>
          <w:tcPr>
            <w:tcW w:w="1030" w:type="dxa"/>
            <w:tcBorders>
              <w:bottom w:val="single" w:sz="4" w:space="0" w:color="auto"/>
            </w:tcBorders>
            <w:shd w:val="pct25" w:color="auto" w:fill="auto"/>
          </w:tcPr>
          <w:p w:rsidR="00000000" w:rsidRDefault="00BC67ED">
            <w:pPr>
              <w:autoSpaceDE w:val="0"/>
              <w:autoSpaceDN w:val="0"/>
              <w:adjustRightInd w:val="0"/>
              <w:jc w:val="center"/>
              <w:rPr>
                <w:rFonts w:ascii="Arial" w:hAnsi="Arial" w:cs="Arial"/>
                <w:b/>
                <w:i/>
                <w:iCs/>
                <w:lang w:val="en-US"/>
              </w:rPr>
            </w:pPr>
            <w:r>
              <w:rPr>
                <w:rFonts w:ascii="Arial" w:hAnsi="Arial" w:cs="Arial"/>
                <w:b/>
                <w:i/>
                <w:iCs/>
                <w:lang w:val="en-US"/>
              </w:rPr>
              <w:t>PC3</w:t>
            </w:r>
          </w:p>
        </w:tc>
        <w:tc>
          <w:tcPr>
            <w:tcW w:w="1357" w:type="dxa"/>
            <w:tcBorders>
              <w:bottom w:val="single" w:sz="4" w:space="0" w:color="auto"/>
            </w:tcBorders>
          </w:tcPr>
          <w:p w:rsidR="00000000" w:rsidRDefault="00BC67ED">
            <w:pPr>
              <w:autoSpaceDE w:val="0"/>
              <w:autoSpaceDN w:val="0"/>
              <w:adjustRightInd w:val="0"/>
              <w:jc w:val="center"/>
              <w:rPr>
                <w:rFonts w:ascii="Arial" w:hAnsi="Arial" w:cs="Arial"/>
                <w:i/>
                <w:iCs/>
              </w:rPr>
            </w:pPr>
            <w:r>
              <w:rPr>
                <w:rFonts w:ascii="Arial" w:hAnsi="Arial" w:cs="Arial"/>
                <w:i/>
                <w:iCs/>
              </w:rPr>
              <w:t>PC4</w:t>
            </w:r>
          </w:p>
        </w:tc>
      </w:tr>
      <w:tr w:rsidR="00000000">
        <w:tc>
          <w:tcPr>
            <w:tcW w:w="1924" w:type="dxa"/>
            <w:tcBorders>
              <w:top w:val="single" w:sz="4" w:space="0" w:color="auto"/>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Edad</w:t>
            </w:r>
          </w:p>
        </w:tc>
        <w:tc>
          <w:tcPr>
            <w:tcW w:w="1322" w:type="dxa"/>
            <w:tcBorders>
              <w:top w:val="single" w:sz="4" w:space="0" w:color="auto"/>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rPr>
              <w:t xml:space="preserve">-0,292  </w:t>
            </w:r>
          </w:p>
        </w:tc>
        <w:tc>
          <w:tcPr>
            <w:tcW w:w="1053" w:type="dxa"/>
            <w:tcBorders>
              <w:top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 xml:space="preserve">0,270     </w:t>
            </w:r>
          </w:p>
        </w:tc>
        <w:tc>
          <w:tcPr>
            <w:tcW w:w="1030" w:type="dxa"/>
            <w:tcBorders>
              <w:top w:val="single" w:sz="4" w:space="0" w:color="auto"/>
            </w:tcBorders>
            <w:shd w:val="pct25" w:color="auto" w:fill="auto"/>
          </w:tcPr>
          <w:p w:rsidR="00000000" w:rsidRDefault="00BC67ED">
            <w:pPr>
              <w:autoSpaceDE w:val="0"/>
              <w:autoSpaceDN w:val="0"/>
              <w:adjustRightInd w:val="0"/>
              <w:jc w:val="center"/>
              <w:rPr>
                <w:rFonts w:ascii="Arial" w:hAnsi="Arial" w:cs="Arial"/>
                <w:i/>
                <w:lang w:val="fr-FR"/>
              </w:rPr>
            </w:pPr>
            <w:r>
              <w:rPr>
                <w:rFonts w:ascii="Arial" w:hAnsi="Arial" w:cs="Arial"/>
                <w:i/>
              </w:rPr>
              <w:t xml:space="preserve"> 0,915</w:t>
            </w:r>
          </w:p>
        </w:tc>
        <w:tc>
          <w:tcPr>
            <w:tcW w:w="1357" w:type="dxa"/>
            <w:tcBorders>
              <w:top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0,073</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Tabaco</w:t>
            </w:r>
          </w:p>
        </w:tc>
        <w:tc>
          <w:tcPr>
            <w:tcW w:w="1322" w:type="dxa"/>
            <w:tcBorders>
              <w:left w:val="single" w:sz="4" w:space="0" w:color="auto"/>
            </w:tcBorders>
            <w:shd w:val="pct25" w:color="auto" w:fill="auto"/>
          </w:tcPr>
          <w:p w:rsidR="00000000" w:rsidRDefault="00BC67ED">
            <w:pPr>
              <w:autoSpaceDE w:val="0"/>
              <w:autoSpaceDN w:val="0"/>
              <w:adjustRightInd w:val="0"/>
              <w:rPr>
                <w:rFonts w:ascii="Arial" w:hAnsi="Arial" w:cs="Arial"/>
                <w:i/>
                <w:lang w:val="fr-FR"/>
              </w:rPr>
            </w:pPr>
            <w:r>
              <w:rPr>
                <w:rFonts w:ascii="Arial" w:hAnsi="Arial" w:cs="Arial"/>
                <w:i/>
              </w:rPr>
              <w:t xml:space="preserve">-0,670 </w:t>
            </w:r>
          </w:p>
        </w:tc>
        <w:tc>
          <w:tcPr>
            <w:tcW w:w="1053" w:type="dxa"/>
          </w:tcPr>
          <w:p w:rsidR="00000000" w:rsidRDefault="00BC67ED">
            <w:pPr>
              <w:autoSpaceDE w:val="0"/>
              <w:autoSpaceDN w:val="0"/>
              <w:adjustRightInd w:val="0"/>
              <w:jc w:val="center"/>
              <w:rPr>
                <w:rFonts w:ascii="Arial" w:hAnsi="Arial" w:cs="Arial"/>
                <w:i/>
                <w:lang w:val="fr-FR"/>
              </w:rPr>
            </w:pPr>
            <w:r>
              <w:rPr>
                <w:rFonts w:ascii="Arial" w:hAnsi="Arial" w:cs="Arial"/>
                <w:i/>
              </w:rPr>
              <w:t>-0,119</w:t>
            </w:r>
          </w:p>
        </w:tc>
        <w:tc>
          <w:tcPr>
            <w:tcW w:w="1030" w:type="dxa"/>
          </w:tcPr>
          <w:p w:rsidR="00000000" w:rsidRDefault="00BC67ED">
            <w:pPr>
              <w:autoSpaceDE w:val="0"/>
              <w:autoSpaceDN w:val="0"/>
              <w:adjustRightInd w:val="0"/>
              <w:jc w:val="center"/>
              <w:rPr>
                <w:rFonts w:ascii="Arial" w:hAnsi="Arial" w:cs="Arial"/>
                <w:i/>
                <w:lang w:val="fr-FR"/>
              </w:rPr>
            </w:pPr>
            <w:r>
              <w:rPr>
                <w:rFonts w:ascii="Arial" w:hAnsi="Arial" w:cs="Arial"/>
                <w:i/>
              </w:rPr>
              <w:t>-0,234</w:t>
            </w:r>
          </w:p>
        </w:tc>
        <w:tc>
          <w:tcPr>
            <w:tcW w:w="1357" w:type="dxa"/>
          </w:tcPr>
          <w:p w:rsidR="00000000" w:rsidRDefault="00BC67ED">
            <w:pPr>
              <w:autoSpaceDE w:val="0"/>
              <w:autoSpaceDN w:val="0"/>
              <w:adjustRightInd w:val="0"/>
              <w:jc w:val="center"/>
              <w:rPr>
                <w:rFonts w:ascii="Arial" w:hAnsi="Arial" w:cs="Arial"/>
                <w:i/>
                <w:lang w:val="fr-FR"/>
              </w:rPr>
            </w:pPr>
            <w:r>
              <w:rPr>
                <w:rFonts w:ascii="Arial" w:hAnsi="Arial" w:cs="Arial"/>
                <w:i/>
              </w:rPr>
              <w:t>0,695</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Alcohol</w:t>
            </w:r>
          </w:p>
        </w:tc>
        <w:tc>
          <w:tcPr>
            <w:tcW w:w="1322" w:type="dxa"/>
            <w:tcBorders>
              <w:left w:val="single" w:sz="4" w:space="0" w:color="auto"/>
              <w:bottom w:val="single" w:sz="4" w:space="0" w:color="auto"/>
            </w:tcBorders>
            <w:shd w:val="pct25" w:color="auto" w:fill="auto"/>
          </w:tcPr>
          <w:p w:rsidR="00000000" w:rsidRDefault="00BC67ED">
            <w:pPr>
              <w:autoSpaceDE w:val="0"/>
              <w:autoSpaceDN w:val="0"/>
              <w:adjustRightInd w:val="0"/>
              <w:rPr>
                <w:rFonts w:ascii="Arial" w:hAnsi="Arial" w:cs="Arial"/>
                <w:i/>
                <w:lang w:val="fr-FR"/>
              </w:rPr>
            </w:pPr>
            <w:r>
              <w:rPr>
                <w:rFonts w:ascii="Arial" w:hAnsi="Arial" w:cs="Arial"/>
                <w:i/>
              </w:rPr>
              <w:t>-0,683</w:t>
            </w:r>
          </w:p>
        </w:tc>
        <w:tc>
          <w:tcPr>
            <w:tcW w:w="1053" w:type="dxa"/>
            <w:tcBorders>
              <w:bottom w:val="single" w:sz="4" w:space="0" w:color="auto"/>
            </w:tcBorders>
          </w:tcPr>
          <w:p w:rsidR="00000000" w:rsidRDefault="00BC67ED">
            <w:pPr>
              <w:autoSpaceDE w:val="0"/>
              <w:autoSpaceDN w:val="0"/>
              <w:adjustRightInd w:val="0"/>
              <w:jc w:val="center"/>
              <w:rPr>
                <w:rFonts w:ascii="Arial" w:hAnsi="Arial" w:cs="Arial"/>
                <w:i/>
                <w:lang w:val="fr-FR"/>
              </w:rPr>
            </w:pPr>
            <w:r>
              <w:rPr>
                <w:rFonts w:ascii="Arial" w:hAnsi="Arial" w:cs="Arial"/>
                <w:i/>
              </w:rPr>
              <w:t xml:space="preserve">0,026    </w:t>
            </w:r>
          </w:p>
        </w:tc>
        <w:tc>
          <w:tcPr>
            <w:tcW w:w="1030" w:type="dxa"/>
          </w:tcPr>
          <w:p w:rsidR="00000000" w:rsidRDefault="00BC67ED">
            <w:pPr>
              <w:autoSpaceDE w:val="0"/>
              <w:autoSpaceDN w:val="0"/>
              <w:adjustRightInd w:val="0"/>
              <w:jc w:val="center"/>
              <w:rPr>
                <w:rFonts w:ascii="Arial" w:hAnsi="Arial" w:cs="Arial"/>
                <w:i/>
                <w:lang w:val="fr-FR"/>
              </w:rPr>
            </w:pPr>
            <w:r>
              <w:rPr>
                <w:rFonts w:ascii="Arial" w:hAnsi="Arial" w:cs="Arial"/>
                <w:i/>
              </w:rPr>
              <w:t>-0,169</w:t>
            </w:r>
          </w:p>
        </w:tc>
        <w:tc>
          <w:tcPr>
            <w:tcW w:w="1357" w:type="dxa"/>
          </w:tcPr>
          <w:p w:rsidR="00000000" w:rsidRDefault="00BC67ED">
            <w:pPr>
              <w:autoSpaceDE w:val="0"/>
              <w:autoSpaceDN w:val="0"/>
              <w:adjustRightInd w:val="0"/>
              <w:jc w:val="center"/>
              <w:rPr>
                <w:rFonts w:ascii="Arial" w:hAnsi="Arial" w:cs="Arial"/>
                <w:i/>
                <w:lang w:val="fr-FR"/>
              </w:rPr>
            </w:pPr>
            <w:r>
              <w:rPr>
                <w:rFonts w:ascii="Arial" w:hAnsi="Arial" w:cs="Arial"/>
                <w:i/>
              </w:rPr>
              <w:t>-0,710</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i/>
              </w:rPr>
            </w:pPr>
            <w:r>
              <w:rPr>
                <w:rFonts w:ascii="Arial" w:hAnsi="Arial" w:cs="Arial"/>
                <w:i/>
              </w:rPr>
              <w:t>Histología</w:t>
            </w:r>
          </w:p>
        </w:tc>
        <w:tc>
          <w:tcPr>
            <w:tcW w:w="1322" w:type="dxa"/>
            <w:tcBorders>
              <w:left w:val="single" w:sz="4" w:space="0" w:color="auto"/>
            </w:tcBorders>
          </w:tcPr>
          <w:p w:rsidR="00000000" w:rsidRDefault="00BC67ED">
            <w:pPr>
              <w:autoSpaceDE w:val="0"/>
              <w:autoSpaceDN w:val="0"/>
              <w:adjustRightInd w:val="0"/>
              <w:rPr>
                <w:rFonts w:ascii="Arial" w:hAnsi="Arial" w:cs="Arial"/>
                <w:i/>
                <w:lang w:val="fr-FR"/>
              </w:rPr>
            </w:pPr>
            <w:r>
              <w:rPr>
                <w:rFonts w:ascii="Arial" w:hAnsi="Arial" w:cs="Arial"/>
                <w:i/>
              </w:rPr>
              <w:t xml:space="preserve"> 0,017    </w:t>
            </w:r>
          </w:p>
        </w:tc>
        <w:tc>
          <w:tcPr>
            <w:tcW w:w="1053" w:type="dxa"/>
            <w:shd w:val="pct25" w:color="auto" w:fill="auto"/>
          </w:tcPr>
          <w:p w:rsidR="00000000" w:rsidRDefault="00BC67ED">
            <w:pPr>
              <w:autoSpaceDE w:val="0"/>
              <w:autoSpaceDN w:val="0"/>
              <w:adjustRightInd w:val="0"/>
              <w:jc w:val="center"/>
              <w:rPr>
                <w:rFonts w:ascii="Arial" w:hAnsi="Arial" w:cs="Arial"/>
                <w:i/>
                <w:lang w:val="fr-FR"/>
              </w:rPr>
            </w:pPr>
            <w:r>
              <w:rPr>
                <w:rFonts w:ascii="Arial" w:hAnsi="Arial" w:cs="Arial"/>
                <w:i/>
              </w:rPr>
              <w:t xml:space="preserve">0,955    </w:t>
            </w:r>
          </w:p>
        </w:tc>
        <w:tc>
          <w:tcPr>
            <w:tcW w:w="1030" w:type="dxa"/>
          </w:tcPr>
          <w:p w:rsidR="00000000" w:rsidRDefault="00BC67ED">
            <w:pPr>
              <w:autoSpaceDE w:val="0"/>
              <w:autoSpaceDN w:val="0"/>
              <w:adjustRightInd w:val="0"/>
              <w:jc w:val="center"/>
              <w:rPr>
                <w:rFonts w:ascii="Arial" w:hAnsi="Arial" w:cs="Arial"/>
                <w:i/>
                <w:lang w:val="fr-FR"/>
              </w:rPr>
            </w:pPr>
            <w:r>
              <w:rPr>
                <w:rFonts w:ascii="Arial" w:hAnsi="Arial" w:cs="Arial"/>
                <w:i/>
              </w:rPr>
              <w:t>-0,283</w:t>
            </w:r>
          </w:p>
        </w:tc>
        <w:tc>
          <w:tcPr>
            <w:tcW w:w="1357" w:type="dxa"/>
          </w:tcPr>
          <w:p w:rsidR="00000000" w:rsidRDefault="00BC67ED">
            <w:pPr>
              <w:autoSpaceDE w:val="0"/>
              <w:autoSpaceDN w:val="0"/>
              <w:adjustRightInd w:val="0"/>
              <w:jc w:val="center"/>
              <w:rPr>
                <w:rFonts w:ascii="Arial" w:hAnsi="Arial" w:cs="Arial"/>
                <w:i/>
                <w:lang w:val="fr-FR"/>
              </w:rPr>
            </w:pPr>
            <w:r>
              <w:rPr>
                <w:rFonts w:ascii="Arial" w:hAnsi="Arial" w:cs="Arial"/>
                <w:i/>
              </w:rPr>
              <w:t>0,086</w:t>
            </w:r>
          </w:p>
        </w:tc>
      </w:tr>
      <w:tr w:rsidR="00000000">
        <w:tc>
          <w:tcPr>
            <w:tcW w:w="1924" w:type="dxa"/>
            <w:tcBorders>
              <w:right w:val="single" w:sz="4" w:space="0" w:color="auto"/>
            </w:tcBorders>
          </w:tcPr>
          <w:p w:rsidR="00000000" w:rsidRDefault="00BC67ED">
            <w:pPr>
              <w:autoSpaceDE w:val="0"/>
              <w:autoSpaceDN w:val="0"/>
              <w:adjustRightInd w:val="0"/>
              <w:rPr>
                <w:rFonts w:ascii="Arial" w:hAnsi="Arial" w:cs="Arial"/>
                <w:b/>
                <w:bCs/>
                <w:i/>
                <w:iCs/>
              </w:rPr>
            </w:pPr>
            <w:r>
              <w:rPr>
                <w:rFonts w:ascii="Arial" w:hAnsi="Arial" w:cs="Arial"/>
                <w:b/>
                <w:bCs/>
                <w:i/>
                <w:iCs/>
              </w:rPr>
              <w:t>Eingenvector</w:t>
            </w:r>
          </w:p>
        </w:tc>
        <w:tc>
          <w:tcPr>
            <w:tcW w:w="1322" w:type="dxa"/>
            <w:tcBorders>
              <w:left w:val="single" w:sz="4" w:space="0" w:color="auto"/>
            </w:tcBorders>
          </w:tcPr>
          <w:p w:rsidR="00000000" w:rsidRDefault="00BC67ED">
            <w:pPr>
              <w:autoSpaceDE w:val="0"/>
              <w:autoSpaceDN w:val="0"/>
              <w:adjustRightInd w:val="0"/>
              <w:jc w:val="center"/>
              <w:rPr>
                <w:rFonts w:ascii="Arial" w:hAnsi="Arial" w:cs="Arial"/>
              </w:rPr>
            </w:pPr>
            <w:r>
              <w:rPr>
                <w:rFonts w:ascii="Arial" w:hAnsi="Arial" w:cs="Arial"/>
                <w:position w:val="-10"/>
              </w:rPr>
              <w:object w:dxaOrig="260" w:dyaOrig="340">
                <v:shape id="_x0000_i1199" type="#_x0000_t75" style="width:13.25pt;height:17.3pt" o:ole="">
                  <v:imagedata r:id="rId333" o:title=""/>
                </v:shape>
                <o:OLEObject Type="Embed" ProgID="Equation.3" ShapeID="_x0000_i1199" DrawAspect="Content" ObjectID="_1307787519" r:id="rId378"/>
              </w:object>
            </w:r>
          </w:p>
        </w:tc>
        <w:tc>
          <w:tcPr>
            <w:tcW w:w="1053" w:type="dxa"/>
          </w:tcPr>
          <w:p w:rsidR="00000000" w:rsidRDefault="00BC67ED">
            <w:pPr>
              <w:autoSpaceDE w:val="0"/>
              <w:autoSpaceDN w:val="0"/>
              <w:adjustRightInd w:val="0"/>
              <w:jc w:val="center"/>
              <w:rPr>
                <w:rFonts w:ascii="Arial" w:hAnsi="Arial" w:cs="Arial"/>
              </w:rPr>
            </w:pPr>
            <w:r>
              <w:rPr>
                <w:rFonts w:ascii="Arial" w:hAnsi="Arial" w:cs="Arial"/>
                <w:position w:val="-10"/>
              </w:rPr>
              <w:object w:dxaOrig="279" w:dyaOrig="340">
                <v:shape id="_x0000_i1200" type="#_x0000_t75" style="width:13.8pt;height:17.3pt" o:ole="">
                  <v:imagedata r:id="rId335" o:title=""/>
                </v:shape>
                <o:OLEObject Type="Embed" ProgID="Equation.3" ShapeID="_x0000_i1200" DrawAspect="Content" ObjectID="_1307787520" r:id="rId379"/>
              </w:object>
            </w:r>
          </w:p>
        </w:tc>
        <w:tc>
          <w:tcPr>
            <w:tcW w:w="1030" w:type="dxa"/>
          </w:tcPr>
          <w:p w:rsidR="00000000" w:rsidRDefault="00BC67ED">
            <w:pPr>
              <w:autoSpaceDE w:val="0"/>
              <w:autoSpaceDN w:val="0"/>
              <w:adjustRightInd w:val="0"/>
              <w:jc w:val="center"/>
              <w:rPr>
                <w:rFonts w:ascii="Arial" w:hAnsi="Arial" w:cs="Arial"/>
              </w:rPr>
            </w:pPr>
            <w:r>
              <w:rPr>
                <w:rFonts w:ascii="Arial" w:hAnsi="Arial" w:cs="Arial"/>
                <w:position w:val="-12"/>
              </w:rPr>
              <w:object w:dxaOrig="279" w:dyaOrig="360">
                <v:shape id="_x0000_i1201" type="#_x0000_t75" style="width:13.8pt;height:17.85pt" o:ole="">
                  <v:imagedata r:id="rId337" o:title=""/>
                </v:shape>
                <o:OLEObject Type="Embed" ProgID="Equation.3" ShapeID="_x0000_i1201" DrawAspect="Content" ObjectID="_1307787521" r:id="rId380"/>
              </w:object>
            </w:r>
          </w:p>
        </w:tc>
        <w:tc>
          <w:tcPr>
            <w:tcW w:w="1357" w:type="dxa"/>
          </w:tcPr>
          <w:p w:rsidR="00000000" w:rsidRDefault="00BC67ED">
            <w:pPr>
              <w:autoSpaceDE w:val="0"/>
              <w:autoSpaceDN w:val="0"/>
              <w:adjustRightInd w:val="0"/>
              <w:jc w:val="center"/>
              <w:rPr>
                <w:rFonts w:ascii="Arial" w:hAnsi="Arial" w:cs="Arial"/>
              </w:rPr>
            </w:pPr>
            <w:r>
              <w:rPr>
                <w:rFonts w:ascii="Arial" w:hAnsi="Arial" w:cs="Arial"/>
                <w:position w:val="-10"/>
              </w:rPr>
              <w:object w:dxaOrig="279" w:dyaOrig="340">
                <v:shape id="_x0000_i1202" type="#_x0000_t75" style="width:13.8pt;height:17.3pt" o:ole="">
                  <v:imagedata r:id="rId339" o:title=""/>
                </v:shape>
                <o:OLEObject Type="Embed" ProgID="Equation.3" ShapeID="_x0000_i1202" DrawAspect="Content" ObjectID="_1307787522" r:id="rId381"/>
              </w:object>
            </w:r>
          </w:p>
        </w:tc>
      </w:tr>
    </w:tbl>
    <w:p w:rsidR="00000000" w:rsidRDefault="00BC67ED">
      <w:pPr>
        <w:spacing w:line="480" w:lineRule="auto"/>
        <w:ind w:left="1800"/>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En la figura 4-3 se mostraran los pesos de las dos primeras componentes principales.</w:t>
      </w:r>
    </w:p>
    <w:p w:rsidR="00000000" w:rsidRDefault="00BC67ED">
      <w:pPr>
        <w:spacing w:line="480" w:lineRule="auto"/>
        <w:ind w:left="708"/>
        <w:jc w:val="both"/>
        <w:rPr>
          <w:rFonts w:ascii="Arial" w:hAnsi="Arial" w:cs="Arial"/>
        </w:rPr>
      </w:pPr>
    </w:p>
    <w:p w:rsidR="00000000" w:rsidRDefault="00BC67ED">
      <w:pPr>
        <w:ind w:left="708"/>
        <w:jc w:val="center"/>
        <w:rPr>
          <w:rFonts w:ascii="Arial" w:hAnsi="Arial" w:cs="Arial"/>
          <w:spacing w:val="20"/>
        </w:rPr>
      </w:pPr>
      <w:r>
        <w:rPr>
          <w:rFonts w:ascii="Arial" w:hAnsi="Arial" w:cs="Arial"/>
          <w:b/>
          <w:caps/>
        </w:rPr>
        <w:t>Figura 4-3</w:t>
      </w:r>
    </w:p>
    <w:p w:rsidR="00000000" w:rsidRDefault="00BC67ED">
      <w:pPr>
        <w:ind w:left="708"/>
        <w:jc w:val="center"/>
        <w:rPr>
          <w:rFonts w:ascii="Arial" w:hAnsi="Arial" w:cs="Arial"/>
          <w:b/>
          <w:caps/>
        </w:rPr>
      </w:pPr>
      <w:r>
        <w:rPr>
          <w:rFonts w:ascii="Arial" w:hAnsi="Arial" w:cs="Arial"/>
          <w:b/>
          <w:caps/>
        </w:rPr>
        <w:t>Representación Gráfica de los pesos de las dos Componentes Principale</w:t>
      </w:r>
      <w:r>
        <w:rPr>
          <w:rFonts w:ascii="Arial" w:hAnsi="Arial" w:cs="Arial"/>
          <w:b/>
          <w:caps/>
        </w:rPr>
        <w:t>s</w:t>
      </w:r>
    </w:p>
    <w:p w:rsidR="00000000" w:rsidRDefault="00BC67ED">
      <w:pPr>
        <w:ind w:left="708"/>
        <w:jc w:val="center"/>
        <w:rPr>
          <w:rFonts w:ascii="Arial" w:hAnsi="Arial" w:cs="Arial"/>
          <w:b/>
        </w:rPr>
      </w:pPr>
      <w:r>
        <w:rPr>
          <w:rFonts w:ascii="Arial" w:hAnsi="Arial" w:cs="Arial"/>
          <w:b/>
        </w:rPr>
        <w:t>(Datos Estandarizados)</w:t>
      </w:r>
    </w:p>
    <w:p w:rsidR="00000000" w:rsidRDefault="00BC67ED">
      <w:pPr>
        <w:ind w:left="708"/>
        <w:jc w:val="center"/>
        <w:rPr>
          <w:rFonts w:ascii="Arial" w:hAnsi="Arial" w:cs="Arial"/>
          <w:b/>
        </w:rPr>
      </w:pPr>
    </w:p>
    <w:p w:rsidR="00000000" w:rsidRDefault="00BC67ED">
      <w:pPr>
        <w:spacing w:line="480" w:lineRule="auto"/>
        <w:ind w:left="708"/>
        <w:jc w:val="both"/>
      </w:pPr>
      <w:r>
        <w:object w:dxaOrig="7559" w:dyaOrig="5327">
          <v:shape id="_x0000_i1203" type="#_x0000_t75" style="width:377.85pt;height:266.1pt" o:ole="">
            <v:imagedata r:id="rId382" o:title=""/>
          </v:shape>
          <o:OLEObject Type="Embed" ProgID="MinitabGraph.Document" ShapeID="_x0000_i1203" DrawAspect="Content" ObjectID="_1307787523" r:id="rId383">
            <o:FieldCodes>\s</o:FieldCodes>
          </o:OLEObject>
        </w:object>
      </w:r>
    </w:p>
    <w:p w:rsidR="00000000" w:rsidRDefault="00BC67ED">
      <w:pPr>
        <w:spacing w:line="480" w:lineRule="auto"/>
        <w:ind w:left="708"/>
        <w:jc w:val="both"/>
        <w:rPr>
          <w:rFonts w:ascii="Arial" w:hAnsi="Arial" w:cs="Arial"/>
        </w:rPr>
      </w:pPr>
      <w:r>
        <w:rPr>
          <w:rFonts w:ascii="Arial" w:hAnsi="Arial" w:cs="Arial"/>
        </w:rPr>
        <w:lastRenderedPageBreak/>
        <w:t>La primera componente esta determinada por el alcohol, es decir que las personas que sufren de esta adicción es muy probable que a futuro padezcan de cáncer de esófago con mayor facilidad.</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En </w:t>
      </w:r>
      <w:r>
        <w:rPr>
          <w:rFonts w:ascii="Arial" w:hAnsi="Arial" w:cs="Arial"/>
        </w:rPr>
        <w:t xml:space="preserve">el caso de los pacientes si analizamos sus calificaciones y el gráfico de sus calificaciones podemos determinar claramente que nuestra primera componente los divide en dos grupos bien diferenciados los que son alcohólicos y los que no son alcohólicos esto </w:t>
      </w:r>
      <w:r>
        <w:rPr>
          <w:rFonts w:ascii="Arial" w:hAnsi="Arial" w:cs="Arial"/>
        </w:rPr>
        <w:t>quiere decir que existen pacientes con un mayor grado de adicción que otras.</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Cabe recalcar que en esta primera componente que si el alcohol esta acompañado del tabaco y el género del paciente aumentan las posibilidades de adquirir esta grave enfermedad.</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La segunda componente esta determinada por  la histología del paciente la cual esta definida como la existencia de algún tipo de esófagitis y la presencia del esófago de barret.</w:t>
      </w:r>
    </w:p>
    <w:p w:rsidR="00000000" w:rsidRDefault="00BC67ED">
      <w:pPr>
        <w:spacing w:line="480" w:lineRule="auto"/>
        <w:ind w:left="708"/>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 xml:space="preserve">En el caso de los pacientes si analizamos sus calificaciones y el gráfico de </w:t>
      </w:r>
      <w:r>
        <w:rPr>
          <w:rFonts w:ascii="Arial" w:hAnsi="Arial" w:cs="Arial"/>
        </w:rPr>
        <w:t xml:space="preserve">sus calificaciones podemos determinar claramente que nuestra segunda componente se divide en dos grupos bien </w:t>
      </w:r>
      <w:r>
        <w:rPr>
          <w:rFonts w:ascii="Arial" w:hAnsi="Arial" w:cs="Arial"/>
        </w:rPr>
        <w:lastRenderedPageBreak/>
        <w:t>diferenciados los que tienen algún tipo de esófagitis y los que no padecen de este mal, esto quiere decir  que existen personas que existen pacient</w:t>
      </w:r>
      <w:r>
        <w:rPr>
          <w:rFonts w:ascii="Arial" w:hAnsi="Arial" w:cs="Arial"/>
        </w:rPr>
        <w:t>es que han llevan una correcta forma de alimentación ricas en proteínas y que además llevan algún control de prevención.</w:t>
      </w:r>
    </w:p>
    <w:p w:rsidR="00000000" w:rsidRDefault="00BC67ED">
      <w:pPr>
        <w:spacing w:line="480" w:lineRule="auto"/>
        <w:ind w:left="1416"/>
        <w:jc w:val="center"/>
        <w:rPr>
          <w:rFonts w:ascii="Arial" w:hAnsi="Arial" w:cs="Arial"/>
          <w:b/>
          <w:caps/>
        </w:rPr>
      </w:pPr>
    </w:p>
    <w:p w:rsidR="00000000" w:rsidRDefault="00BC67ED">
      <w:pPr>
        <w:ind w:left="1416"/>
        <w:jc w:val="center"/>
        <w:rPr>
          <w:rFonts w:ascii="Arial" w:hAnsi="Arial" w:cs="Arial"/>
          <w:b/>
          <w:caps/>
        </w:rPr>
      </w:pPr>
      <w:r>
        <w:rPr>
          <w:rFonts w:ascii="Arial" w:hAnsi="Arial" w:cs="Arial"/>
          <w:b/>
          <w:caps/>
        </w:rPr>
        <w:t>Figura 4-4</w:t>
      </w:r>
    </w:p>
    <w:p w:rsidR="00000000" w:rsidRDefault="00BC67ED">
      <w:pPr>
        <w:ind w:left="1416"/>
        <w:jc w:val="center"/>
        <w:rPr>
          <w:rFonts w:ascii="Arial" w:hAnsi="Arial" w:cs="Arial"/>
          <w:b/>
          <w:caps/>
        </w:rPr>
      </w:pPr>
      <w:r>
        <w:rPr>
          <w:rFonts w:ascii="Arial" w:hAnsi="Arial" w:cs="Arial"/>
          <w:b/>
          <w:caps/>
        </w:rPr>
        <w:t>Correlación entre las variables y las</w:t>
      </w:r>
    </w:p>
    <w:p w:rsidR="00000000" w:rsidRDefault="00BC67ED">
      <w:pPr>
        <w:ind w:left="1416"/>
        <w:jc w:val="center"/>
        <w:rPr>
          <w:rFonts w:ascii="Arial" w:hAnsi="Arial" w:cs="Arial"/>
          <w:b/>
        </w:rPr>
      </w:pPr>
      <w:r>
        <w:rPr>
          <w:rFonts w:ascii="Arial" w:hAnsi="Arial" w:cs="Arial"/>
          <w:b/>
          <w:caps/>
        </w:rPr>
        <w:t>Componentes I y II</w:t>
      </w:r>
    </w:p>
    <w:p w:rsidR="00000000" w:rsidRDefault="00BC67ED">
      <w:pPr>
        <w:spacing w:line="480" w:lineRule="auto"/>
        <w:ind w:left="720"/>
        <w:jc w:val="center"/>
        <w:rPr>
          <w:rFonts w:ascii="Arial" w:hAnsi="Arial" w:cs="Arial"/>
          <w:b/>
        </w:rPr>
      </w:pPr>
      <w:r>
        <w:object w:dxaOrig="7842" w:dyaOrig="5535">
          <v:shape id="_x0000_i1204" type="#_x0000_t75" style="width:392.25pt;height:276.5pt" o:ole="">
            <v:imagedata r:id="rId384" o:title=""/>
          </v:shape>
          <o:OLEObject Type="Embed" ProgID="MinitabGraph.Document" ShapeID="_x0000_i1204" DrawAspect="Content" ObjectID="_1307787524" r:id="rId385">
            <o:FieldCodes>\s</o:FieldCodes>
          </o:OLEObject>
        </w:object>
      </w:r>
    </w:p>
    <w:p w:rsidR="00000000" w:rsidRDefault="00BC67ED">
      <w:pPr>
        <w:tabs>
          <w:tab w:val="left" w:pos="540"/>
        </w:tabs>
        <w:spacing w:line="480" w:lineRule="auto"/>
        <w:ind w:left="708"/>
        <w:jc w:val="both"/>
        <w:rPr>
          <w:rFonts w:ascii="Arial" w:hAnsi="Arial" w:cs="Arial"/>
        </w:rPr>
      </w:pPr>
      <w:r>
        <w:rPr>
          <w:rFonts w:ascii="Arial" w:hAnsi="Arial" w:cs="Arial"/>
        </w:rPr>
        <w:t>Las principales relaciones qu</w:t>
      </w:r>
      <w:r>
        <w:rPr>
          <w:rFonts w:ascii="Arial" w:hAnsi="Arial" w:cs="Arial"/>
        </w:rPr>
        <w:t>e encontramos al elaborar los planos de las componentes I y II son las Siguientes:</w:t>
      </w:r>
    </w:p>
    <w:p w:rsidR="00000000" w:rsidRDefault="00BC67ED">
      <w:pPr>
        <w:tabs>
          <w:tab w:val="left" w:pos="540"/>
        </w:tabs>
        <w:spacing w:line="480" w:lineRule="auto"/>
        <w:ind w:left="708"/>
        <w:jc w:val="both"/>
        <w:rPr>
          <w:rFonts w:ascii="Arial" w:hAnsi="Arial" w:cs="Arial"/>
        </w:rPr>
      </w:pPr>
      <w:r>
        <w:rPr>
          <w:rFonts w:ascii="Arial" w:hAnsi="Arial" w:cs="Arial"/>
        </w:rPr>
        <w:t>Un grupo integrado por el tabaco y el alcohol se encuentran altamente correlacionadas, de igual manera podemos decir que la edad guarda una cercana relación con estos dos ma</w:t>
      </w:r>
      <w:r>
        <w:rPr>
          <w:rFonts w:ascii="Arial" w:hAnsi="Arial" w:cs="Arial"/>
        </w:rPr>
        <w:t xml:space="preserve">les antes señalados y que la </w:t>
      </w:r>
      <w:r>
        <w:rPr>
          <w:rFonts w:ascii="Arial" w:hAnsi="Arial" w:cs="Arial"/>
        </w:rPr>
        <w:lastRenderedPageBreak/>
        <w:t>unión de estas tres características puede ser motivo de adquirir esta mortal enfermedad, y finalmente la histología no guarda una estrecha correlación con las demás variables en estudio.</w:t>
      </w:r>
    </w:p>
    <w:p w:rsidR="00000000" w:rsidRDefault="00BC67ED">
      <w:pPr>
        <w:tabs>
          <w:tab w:val="left" w:pos="540"/>
        </w:tabs>
        <w:spacing w:line="480" w:lineRule="auto"/>
        <w:ind w:left="708"/>
        <w:jc w:val="both"/>
        <w:rPr>
          <w:rFonts w:ascii="Arial" w:hAnsi="Arial" w:cs="Arial"/>
        </w:rPr>
      </w:pPr>
      <w:r>
        <w:rPr>
          <w:rFonts w:ascii="Arial" w:hAnsi="Arial" w:cs="Arial"/>
        </w:rPr>
        <w:t xml:space="preserve">Ahora si proyectan los dos grupos sobre </w:t>
      </w:r>
      <w:r>
        <w:rPr>
          <w:rFonts w:ascii="Arial" w:hAnsi="Arial" w:cs="Arial"/>
        </w:rPr>
        <w:t>el eje principal, veremos que las proyecciones están bastantes cercanas entre sí puesto que este eje explica aproximadamente un  el 70% de la información total, esto indica que el comportamiento de los grupos es homogéneo.</w:t>
      </w:r>
    </w:p>
    <w:p w:rsidR="00000000" w:rsidRDefault="00BC67ED">
      <w:pPr>
        <w:tabs>
          <w:tab w:val="left" w:pos="1440"/>
        </w:tabs>
        <w:ind w:left="1609" w:hanging="180"/>
        <w:jc w:val="both"/>
        <w:rPr>
          <w:rFonts w:ascii="Arial" w:hAnsi="Arial" w:cs="Arial"/>
        </w:rPr>
      </w:pPr>
    </w:p>
    <w:p w:rsidR="00000000" w:rsidRDefault="00BC67ED">
      <w:pPr>
        <w:spacing w:line="480" w:lineRule="auto"/>
        <w:ind w:left="708"/>
        <w:jc w:val="both"/>
        <w:rPr>
          <w:rFonts w:ascii="Arial" w:hAnsi="Arial" w:cs="Arial"/>
        </w:rPr>
      </w:pPr>
      <w:r>
        <w:rPr>
          <w:rFonts w:ascii="Arial" w:hAnsi="Arial" w:cs="Arial"/>
        </w:rPr>
        <w:t>En vista de lo obtenido,  se pue</w:t>
      </w:r>
      <w:r>
        <w:rPr>
          <w:rFonts w:ascii="Arial" w:hAnsi="Arial" w:cs="Arial"/>
        </w:rPr>
        <w:t>de decir que la unión de el tabaco y el alcohol juegan un papel preponderante para contraer de manera temprana el cáncer de esófago además se ha llegado a concluir que si el paciente con mayor edad consume alcohol y tabaco, corre el riesgo de adquirir esta</w:t>
      </w:r>
      <w:r>
        <w:rPr>
          <w:rFonts w:ascii="Arial" w:hAnsi="Arial" w:cs="Arial"/>
        </w:rPr>
        <w:t xml:space="preserve"> mortal enfermedad.</w:t>
      </w: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rsidP="00BC67ED">
      <w:pPr>
        <w:numPr>
          <w:ilvl w:val="1"/>
          <w:numId w:val="34"/>
        </w:numPr>
        <w:tabs>
          <w:tab w:val="clear" w:pos="1080"/>
          <w:tab w:val="num" w:pos="-12"/>
          <w:tab w:val="num" w:pos="720"/>
        </w:tabs>
        <w:spacing w:line="480" w:lineRule="auto"/>
        <w:ind w:left="708" w:hanging="720"/>
        <w:jc w:val="both"/>
        <w:rPr>
          <w:rFonts w:ascii="Arial" w:hAnsi="Arial" w:cs="Arial"/>
          <w:b/>
          <w:spacing w:val="20"/>
        </w:rPr>
      </w:pPr>
      <w:r>
        <w:rPr>
          <w:rFonts w:ascii="Arial" w:hAnsi="Arial" w:cs="Arial"/>
          <w:b/>
          <w:spacing w:val="20"/>
        </w:rPr>
        <w:lastRenderedPageBreak/>
        <w:t>Análisis de Correspondencia de las variables observadas para el cáncer de esófago.</w:t>
      </w:r>
    </w:p>
    <w:p w:rsidR="00000000" w:rsidRDefault="00BC67ED">
      <w:pPr>
        <w:spacing w:line="480" w:lineRule="auto"/>
        <w:ind w:left="720"/>
        <w:jc w:val="center"/>
        <w:rPr>
          <w:rFonts w:ascii="Arial" w:hAnsi="Arial" w:cs="Arial"/>
          <w:b/>
        </w:rPr>
      </w:pPr>
    </w:p>
    <w:p w:rsidR="00000000" w:rsidRDefault="00BC67ED">
      <w:pPr>
        <w:pStyle w:val="Sangradetextonormal"/>
        <w:tabs>
          <w:tab w:val="left" w:pos="1260"/>
          <w:tab w:val="left" w:pos="1440"/>
        </w:tabs>
        <w:ind w:left="1440"/>
        <w:jc w:val="center"/>
        <w:rPr>
          <w:rFonts w:ascii="Arial" w:hAnsi="Arial" w:cs="Arial"/>
          <w:b/>
          <w:bCs/>
        </w:rPr>
      </w:pPr>
      <w:r>
        <w:rPr>
          <w:rFonts w:ascii="Arial" w:hAnsi="Arial" w:cs="Arial"/>
          <w:b/>
          <w:bCs/>
        </w:rPr>
        <w:t>Tabla XXXVII</w:t>
      </w:r>
    </w:p>
    <w:p w:rsidR="00000000" w:rsidRDefault="00BC67ED">
      <w:pPr>
        <w:pStyle w:val="Sangradetextonormal"/>
        <w:tabs>
          <w:tab w:val="left" w:pos="1260"/>
          <w:tab w:val="left" w:pos="1440"/>
        </w:tabs>
        <w:ind w:left="1440"/>
        <w:jc w:val="center"/>
        <w:rPr>
          <w:rFonts w:ascii="Arial" w:hAnsi="Arial" w:cs="Arial"/>
          <w:b/>
          <w:bCs/>
        </w:rPr>
      </w:pPr>
      <w:r>
        <w:rPr>
          <w:rFonts w:ascii="Arial" w:hAnsi="Arial" w:cs="Arial"/>
          <w:b/>
          <w:bCs/>
        </w:rPr>
        <w:t>Análisis de Correspondencia del</w:t>
      </w:r>
    </w:p>
    <w:p w:rsidR="00000000" w:rsidRDefault="00BC67ED">
      <w:pPr>
        <w:spacing w:line="360" w:lineRule="auto"/>
        <w:ind w:left="1416"/>
        <w:jc w:val="center"/>
        <w:rPr>
          <w:rFonts w:ascii="Arial" w:hAnsi="Arial" w:cs="Arial"/>
          <w:sz w:val="20"/>
          <w:szCs w:val="20"/>
        </w:rPr>
      </w:pPr>
      <w:r>
        <w:rPr>
          <w:rFonts w:ascii="Arial" w:hAnsi="Arial" w:cs="Arial"/>
          <w:b/>
        </w:rPr>
        <w:t>Tabaco  vs. Esófago de Barret</w:t>
      </w:r>
    </w:p>
    <w:tbl>
      <w:tblPr>
        <w:tblpPr w:leftFromText="141" w:rightFromText="141" w:vertAnchor="text" w:horzAnchor="page" w:tblpX="4359" w:tblpY="299"/>
        <w:tblW w:w="5524" w:type="dxa"/>
        <w:tblCellMar>
          <w:left w:w="70" w:type="dxa"/>
          <w:right w:w="70" w:type="dxa"/>
        </w:tblCellMar>
        <w:tblLook w:val="0000"/>
      </w:tblPr>
      <w:tblGrid>
        <w:gridCol w:w="2182"/>
        <w:gridCol w:w="1207"/>
        <w:gridCol w:w="1288"/>
        <w:gridCol w:w="847"/>
      </w:tblGrid>
      <w:tr w:rsidR="00000000">
        <w:trPr>
          <w:trHeight w:val="255"/>
        </w:trPr>
        <w:tc>
          <w:tcPr>
            <w:tcW w:w="2182" w:type="dxa"/>
            <w:tcBorders>
              <w:top w:val="single" w:sz="4" w:space="0" w:color="000000"/>
              <w:left w:val="single" w:sz="4" w:space="0" w:color="000000"/>
              <w:bottom w:val="nil"/>
              <w:right w:val="nil"/>
            </w:tcBorders>
            <w:noWrap/>
            <w:vAlign w:val="bottom"/>
          </w:tcPr>
          <w:p w:rsidR="00000000" w:rsidRDefault="00BC67ED">
            <w:pPr>
              <w:jc w:val="center"/>
              <w:rPr>
                <w:rFonts w:ascii="Arial" w:hAnsi="Arial" w:cs="Arial"/>
              </w:rPr>
            </w:pPr>
            <w:r>
              <w:rPr>
                <w:rFonts w:ascii="Arial" w:hAnsi="Arial" w:cs="Arial"/>
                <w:b/>
                <w:bCs/>
              </w:rPr>
              <w:t>Tabaco</w:t>
            </w:r>
          </w:p>
        </w:tc>
        <w:tc>
          <w:tcPr>
            <w:tcW w:w="1207" w:type="dxa"/>
            <w:tcBorders>
              <w:top w:val="single" w:sz="4" w:space="0" w:color="000000"/>
              <w:left w:val="single" w:sz="4" w:space="0" w:color="000000"/>
              <w:bottom w:val="nil"/>
              <w:right w:val="nil"/>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tcBorders>
              <w:top w:val="single" w:sz="4" w:space="0" w:color="000000"/>
              <w:left w:val="nil"/>
              <w:bottom w:val="nil"/>
              <w:right w:val="nil"/>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rPr>
            </w:pPr>
            <w:r>
              <w:rPr>
                <w:rFonts w:ascii="Arial" w:hAnsi="Arial" w:cs="Arial"/>
                <w:b/>
                <w:bCs/>
              </w:rPr>
              <w:t>Negativo</w:t>
            </w:r>
          </w:p>
        </w:tc>
        <w:tc>
          <w:tcPr>
            <w:tcW w:w="847" w:type="dxa"/>
            <w:tcBorders>
              <w:top w:val="single" w:sz="4" w:space="0" w:color="000000"/>
              <w:left w:val="single" w:sz="4" w:space="0" w:color="000000"/>
              <w:bottom w:val="nil"/>
              <w:right w:val="single" w:sz="4" w:space="0" w:color="000000"/>
            </w:tcBorders>
            <w:noWrap/>
            <w:vAlign w:val="bottom"/>
          </w:tcPr>
          <w:p w:rsidR="00000000" w:rsidRDefault="00BC67ED">
            <w:pPr>
              <w:jc w:val="center"/>
              <w:rPr>
                <w:rFonts w:ascii="Arial" w:hAnsi="Arial" w:cs="Arial"/>
              </w:rPr>
            </w:pPr>
            <w:r>
              <w:rPr>
                <w:rFonts w:ascii="Arial" w:hAnsi="Arial" w:cs="Arial"/>
                <w:b/>
                <w:bCs/>
                <w:i/>
                <w:iCs/>
              </w:rPr>
              <w:t>Total</w:t>
            </w:r>
          </w:p>
        </w:tc>
      </w:tr>
      <w:tr w:rsidR="00000000">
        <w:trPr>
          <w:trHeight w:val="255"/>
        </w:trPr>
        <w:tc>
          <w:tcPr>
            <w:tcW w:w="2182" w:type="dxa"/>
            <w:tcBorders>
              <w:top w:val="single" w:sz="4" w:space="0" w:color="000000"/>
              <w:left w:val="single" w:sz="4" w:space="0" w:color="000000"/>
              <w:bottom w:val="nil"/>
              <w:right w:val="nil"/>
            </w:tcBorders>
            <w:noWrap/>
            <w:vAlign w:val="bottom"/>
          </w:tcPr>
          <w:p w:rsidR="00000000" w:rsidRDefault="00BC67ED">
            <w:pPr>
              <w:rPr>
                <w:rFonts w:ascii="Arial" w:hAnsi="Arial" w:cs="Arial"/>
                <w:i/>
                <w:iCs/>
              </w:rPr>
            </w:pPr>
            <w:r>
              <w:rPr>
                <w:rFonts w:ascii="Arial" w:hAnsi="Arial" w:cs="Arial"/>
                <w:i/>
                <w:iCs/>
              </w:rPr>
              <w:t>No</w:t>
            </w:r>
          </w:p>
        </w:tc>
        <w:tc>
          <w:tcPr>
            <w:tcW w:w="1207" w:type="dxa"/>
            <w:tcBorders>
              <w:top w:val="single" w:sz="4" w:space="0" w:color="000000"/>
              <w:left w:val="single" w:sz="4" w:space="0" w:color="000000"/>
              <w:bottom w:val="nil"/>
              <w:right w:val="nil"/>
            </w:tcBorders>
            <w:noWrap/>
            <w:vAlign w:val="bottom"/>
          </w:tcPr>
          <w:p w:rsidR="00000000" w:rsidRDefault="00BC67ED">
            <w:pPr>
              <w:jc w:val="right"/>
              <w:rPr>
                <w:rFonts w:ascii="Arial" w:hAnsi="Arial" w:cs="Arial"/>
              </w:rPr>
            </w:pPr>
            <w:r>
              <w:rPr>
                <w:rFonts w:ascii="Arial" w:hAnsi="Arial" w:cs="Arial"/>
              </w:rPr>
              <w:t>2</w:t>
            </w:r>
          </w:p>
        </w:tc>
        <w:tc>
          <w:tcPr>
            <w:tcW w:w="1288" w:type="dxa"/>
            <w:tcBorders>
              <w:top w:val="single" w:sz="4" w:space="0" w:color="000000"/>
              <w:left w:val="nil"/>
              <w:bottom w:val="nil"/>
              <w:right w:val="nil"/>
            </w:tcBorders>
            <w:noWrap/>
            <w:vAlign w:val="bottom"/>
          </w:tcPr>
          <w:p w:rsidR="00000000" w:rsidRDefault="00BC67ED">
            <w:pPr>
              <w:jc w:val="right"/>
              <w:rPr>
                <w:rFonts w:ascii="Arial" w:hAnsi="Arial" w:cs="Arial"/>
              </w:rPr>
            </w:pPr>
            <w:r>
              <w:rPr>
                <w:rFonts w:ascii="Arial" w:hAnsi="Arial" w:cs="Arial"/>
              </w:rPr>
              <w:t>61</w:t>
            </w:r>
          </w:p>
        </w:tc>
        <w:tc>
          <w:tcPr>
            <w:tcW w:w="847" w:type="dxa"/>
            <w:tcBorders>
              <w:top w:val="single" w:sz="4" w:space="0" w:color="000000"/>
              <w:left w:val="single" w:sz="4" w:space="0" w:color="000000"/>
              <w:bottom w:val="nil"/>
              <w:right w:val="single" w:sz="4" w:space="0" w:color="000000"/>
            </w:tcBorders>
            <w:noWrap/>
            <w:vAlign w:val="bottom"/>
          </w:tcPr>
          <w:p w:rsidR="00000000" w:rsidRDefault="00BC67ED">
            <w:pPr>
              <w:jc w:val="right"/>
              <w:rPr>
                <w:rFonts w:ascii="Arial" w:hAnsi="Arial" w:cs="Arial"/>
              </w:rPr>
            </w:pPr>
            <w:r>
              <w:rPr>
                <w:rFonts w:ascii="Arial" w:hAnsi="Arial" w:cs="Arial"/>
              </w:rPr>
              <w:t>63</w:t>
            </w:r>
          </w:p>
        </w:tc>
      </w:tr>
      <w:tr w:rsidR="00000000">
        <w:trPr>
          <w:trHeight w:val="255"/>
        </w:trPr>
        <w:tc>
          <w:tcPr>
            <w:tcW w:w="2182" w:type="dxa"/>
            <w:tcBorders>
              <w:top w:val="nil"/>
              <w:left w:val="single" w:sz="4" w:space="0" w:color="000000"/>
              <w:bottom w:val="nil"/>
              <w:right w:val="nil"/>
            </w:tcBorders>
            <w:noWrap/>
            <w:vAlign w:val="bottom"/>
          </w:tcPr>
          <w:p w:rsidR="00000000" w:rsidRDefault="00BC67ED">
            <w:pPr>
              <w:rPr>
                <w:rFonts w:ascii="Arial" w:hAnsi="Arial" w:cs="Arial"/>
                <w:i/>
                <w:iCs/>
              </w:rPr>
            </w:pPr>
            <w:r>
              <w:rPr>
                <w:rFonts w:ascii="Arial" w:hAnsi="Arial" w:cs="Arial"/>
                <w:i/>
                <w:iCs/>
              </w:rPr>
              <w:t>Baja Frecu</w:t>
            </w:r>
            <w:r>
              <w:rPr>
                <w:rFonts w:ascii="Arial" w:hAnsi="Arial" w:cs="Arial"/>
                <w:i/>
                <w:iCs/>
              </w:rPr>
              <w:t>encia</w:t>
            </w:r>
          </w:p>
        </w:tc>
        <w:tc>
          <w:tcPr>
            <w:tcW w:w="1207" w:type="dxa"/>
            <w:tcBorders>
              <w:top w:val="nil"/>
              <w:left w:val="single" w:sz="4" w:space="0" w:color="000000"/>
              <w:bottom w:val="nil"/>
              <w:right w:val="nil"/>
            </w:tcBorders>
            <w:noWrap/>
            <w:vAlign w:val="bottom"/>
          </w:tcPr>
          <w:p w:rsidR="00000000" w:rsidRDefault="00BC67ED">
            <w:pPr>
              <w:jc w:val="right"/>
              <w:rPr>
                <w:rFonts w:ascii="Arial" w:hAnsi="Arial" w:cs="Arial"/>
              </w:rPr>
            </w:pPr>
            <w:r>
              <w:rPr>
                <w:rFonts w:ascii="Arial" w:hAnsi="Arial" w:cs="Arial"/>
              </w:rPr>
              <w:t> 0</w:t>
            </w:r>
          </w:p>
        </w:tc>
        <w:tc>
          <w:tcPr>
            <w:tcW w:w="1288" w:type="dxa"/>
            <w:tcBorders>
              <w:top w:val="nil"/>
              <w:left w:val="nil"/>
              <w:bottom w:val="nil"/>
              <w:right w:val="nil"/>
            </w:tcBorders>
            <w:noWrap/>
            <w:vAlign w:val="bottom"/>
          </w:tcPr>
          <w:p w:rsidR="00000000" w:rsidRDefault="00BC67ED">
            <w:pPr>
              <w:jc w:val="right"/>
              <w:rPr>
                <w:rFonts w:ascii="Arial" w:hAnsi="Arial" w:cs="Arial"/>
              </w:rPr>
            </w:pPr>
            <w:r>
              <w:rPr>
                <w:rFonts w:ascii="Arial" w:hAnsi="Arial" w:cs="Arial"/>
              </w:rPr>
              <w:t>15</w:t>
            </w:r>
          </w:p>
        </w:tc>
        <w:tc>
          <w:tcPr>
            <w:tcW w:w="847" w:type="dxa"/>
            <w:tcBorders>
              <w:top w:val="nil"/>
              <w:left w:val="single" w:sz="4" w:space="0" w:color="000000"/>
              <w:bottom w:val="nil"/>
              <w:right w:val="single" w:sz="4" w:space="0" w:color="000000"/>
            </w:tcBorders>
            <w:noWrap/>
            <w:vAlign w:val="bottom"/>
          </w:tcPr>
          <w:p w:rsidR="00000000" w:rsidRDefault="00BC67ED">
            <w:pPr>
              <w:jc w:val="right"/>
              <w:rPr>
                <w:rFonts w:ascii="Arial" w:hAnsi="Arial" w:cs="Arial"/>
              </w:rPr>
            </w:pPr>
            <w:r>
              <w:rPr>
                <w:rFonts w:ascii="Arial" w:hAnsi="Arial" w:cs="Arial"/>
              </w:rPr>
              <w:t>15</w:t>
            </w:r>
          </w:p>
        </w:tc>
      </w:tr>
      <w:tr w:rsidR="00000000">
        <w:trPr>
          <w:trHeight w:val="255"/>
        </w:trPr>
        <w:tc>
          <w:tcPr>
            <w:tcW w:w="2182" w:type="dxa"/>
            <w:tcBorders>
              <w:top w:val="nil"/>
              <w:left w:val="single" w:sz="4" w:space="0" w:color="000000"/>
              <w:bottom w:val="nil"/>
              <w:right w:val="nil"/>
            </w:tcBorders>
            <w:noWrap/>
            <w:vAlign w:val="bottom"/>
          </w:tcPr>
          <w:p w:rsidR="00000000" w:rsidRDefault="00BC67ED">
            <w:pPr>
              <w:rPr>
                <w:rFonts w:ascii="Arial" w:hAnsi="Arial" w:cs="Arial"/>
                <w:i/>
                <w:iCs/>
              </w:rPr>
            </w:pPr>
            <w:r>
              <w:rPr>
                <w:rFonts w:ascii="Arial" w:hAnsi="Arial" w:cs="Arial"/>
                <w:i/>
                <w:iCs/>
              </w:rPr>
              <w:t>Media Frecuencia</w:t>
            </w:r>
          </w:p>
        </w:tc>
        <w:tc>
          <w:tcPr>
            <w:tcW w:w="1207" w:type="dxa"/>
            <w:tcBorders>
              <w:top w:val="nil"/>
              <w:left w:val="single" w:sz="4" w:space="0" w:color="000000"/>
              <w:bottom w:val="nil"/>
              <w:right w:val="nil"/>
            </w:tcBorders>
            <w:noWrap/>
            <w:vAlign w:val="bottom"/>
          </w:tcPr>
          <w:p w:rsidR="00000000" w:rsidRDefault="00BC67ED">
            <w:pPr>
              <w:jc w:val="right"/>
              <w:rPr>
                <w:rFonts w:ascii="Arial" w:hAnsi="Arial" w:cs="Arial"/>
              </w:rPr>
            </w:pPr>
            <w:r>
              <w:rPr>
                <w:rFonts w:ascii="Arial" w:hAnsi="Arial" w:cs="Arial"/>
              </w:rPr>
              <w:t>1</w:t>
            </w:r>
          </w:p>
        </w:tc>
        <w:tc>
          <w:tcPr>
            <w:tcW w:w="1288" w:type="dxa"/>
            <w:tcBorders>
              <w:top w:val="nil"/>
              <w:left w:val="nil"/>
              <w:bottom w:val="nil"/>
              <w:right w:val="nil"/>
            </w:tcBorders>
            <w:noWrap/>
            <w:vAlign w:val="bottom"/>
          </w:tcPr>
          <w:p w:rsidR="00000000" w:rsidRDefault="00BC67ED">
            <w:pPr>
              <w:jc w:val="right"/>
              <w:rPr>
                <w:rFonts w:ascii="Arial" w:hAnsi="Arial" w:cs="Arial"/>
              </w:rPr>
            </w:pPr>
            <w:r>
              <w:rPr>
                <w:rFonts w:ascii="Arial" w:hAnsi="Arial" w:cs="Arial"/>
              </w:rPr>
              <w:t>29</w:t>
            </w:r>
          </w:p>
        </w:tc>
        <w:tc>
          <w:tcPr>
            <w:tcW w:w="847" w:type="dxa"/>
            <w:tcBorders>
              <w:top w:val="nil"/>
              <w:left w:val="single" w:sz="4" w:space="0" w:color="000000"/>
              <w:bottom w:val="nil"/>
              <w:right w:val="single" w:sz="4" w:space="0" w:color="000000"/>
            </w:tcBorders>
            <w:noWrap/>
            <w:vAlign w:val="bottom"/>
          </w:tcPr>
          <w:p w:rsidR="00000000" w:rsidRDefault="00BC67ED">
            <w:pPr>
              <w:jc w:val="right"/>
              <w:rPr>
                <w:rFonts w:ascii="Arial" w:hAnsi="Arial" w:cs="Arial"/>
              </w:rPr>
            </w:pPr>
            <w:r>
              <w:rPr>
                <w:rFonts w:ascii="Arial" w:hAnsi="Arial" w:cs="Arial"/>
              </w:rPr>
              <w:t>30</w:t>
            </w:r>
          </w:p>
        </w:tc>
      </w:tr>
      <w:tr w:rsidR="00000000">
        <w:trPr>
          <w:trHeight w:val="255"/>
        </w:trPr>
        <w:tc>
          <w:tcPr>
            <w:tcW w:w="2182" w:type="dxa"/>
            <w:tcBorders>
              <w:top w:val="nil"/>
              <w:left w:val="single" w:sz="4" w:space="0" w:color="000000"/>
              <w:bottom w:val="nil"/>
              <w:right w:val="nil"/>
            </w:tcBorders>
            <w:noWrap/>
            <w:vAlign w:val="bottom"/>
          </w:tcPr>
          <w:p w:rsidR="00000000" w:rsidRDefault="00BC67ED">
            <w:pPr>
              <w:rPr>
                <w:rFonts w:ascii="Arial" w:hAnsi="Arial" w:cs="Arial"/>
                <w:i/>
                <w:iCs/>
              </w:rPr>
            </w:pPr>
            <w:r>
              <w:rPr>
                <w:rFonts w:ascii="Arial" w:hAnsi="Arial" w:cs="Arial"/>
                <w:i/>
                <w:iCs/>
              </w:rPr>
              <w:t>Gran Frecuencia</w:t>
            </w:r>
          </w:p>
        </w:tc>
        <w:tc>
          <w:tcPr>
            <w:tcW w:w="1207" w:type="dxa"/>
            <w:tcBorders>
              <w:top w:val="nil"/>
              <w:left w:val="single" w:sz="4" w:space="0" w:color="000000"/>
              <w:bottom w:val="nil"/>
              <w:right w:val="nil"/>
            </w:tcBorders>
            <w:noWrap/>
            <w:vAlign w:val="bottom"/>
          </w:tcPr>
          <w:p w:rsidR="00000000" w:rsidRDefault="00BC67ED">
            <w:pPr>
              <w:jc w:val="right"/>
              <w:rPr>
                <w:rFonts w:ascii="Arial" w:hAnsi="Arial" w:cs="Arial"/>
              </w:rPr>
            </w:pPr>
            <w:r>
              <w:rPr>
                <w:rFonts w:ascii="Arial" w:hAnsi="Arial" w:cs="Arial"/>
              </w:rPr>
              <w:t>1</w:t>
            </w:r>
          </w:p>
        </w:tc>
        <w:tc>
          <w:tcPr>
            <w:tcW w:w="1288" w:type="dxa"/>
            <w:tcBorders>
              <w:top w:val="nil"/>
              <w:left w:val="nil"/>
              <w:bottom w:val="nil"/>
              <w:right w:val="nil"/>
            </w:tcBorders>
            <w:noWrap/>
            <w:vAlign w:val="bottom"/>
          </w:tcPr>
          <w:p w:rsidR="00000000" w:rsidRDefault="00BC67ED">
            <w:pPr>
              <w:jc w:val="right"/>
              <w:rPr>
                <w:rFonts w:ascii="Arial" w:hAnsi="Arial" w:cs="Arial"/>
              </w:rPr>
            </w:pPr>
            <w:r>
              <w:rPr>
                <w:rFonts w:ascii="Arial" w:hAnsi="Arial" w:cs="Arial"/>
              </w:rPr>
              <w:t>11</w:t>
            </w:r>
          </w:p>
        </w:tc>
        <w:tc>
          <w:tcPr>
            <w:tcW w:w="847" w:type="dxa"/>
            <w:tcBorders>
              <w:top w:val="nil"/>
              <w:left w:val="single" w:sz="4" w:space="0" w:color="000000"/>
              <w:bottom w:val="nil"/>
              <w:right w:val="single" w:sz="4" w:space="0" w:color="000000"/>
            </w:tcBorders>
            <w:noWrap/>
            <w:vAlign w:val="bottom"/>
          </w:tcPr>
          <w:p w:rsidR="00000000" w:rsidRDefault="00BC67ED">
            <w:pPr>
              <w:jc w:val="right"/>
              <w:rPr>
                <w:rFonts w:ascii="Arial" w:hAnsi="Arial" w:cs="Arial"/>
              </w:rPr>
            </w:pPr>
            <w:r>
              <w:rPr>
                <w:rFonts w:ascii="Arial" w:hAnsi="Arial" w:cs="Arial"/>
              </w:rPr>
              <w:t>12</w:t>
            </w:r>
          </w:p>
        </w:tc>
      </w:tr>
      <w:tr w:rsidR="00000000">
        <w:trPr>
          <w:trHeight w:val="255"/>
        </w:trPr>
        <w:tc>
          <w:tcPr>
            <w:tcW w:w="2182" w:type="dxa"/>
            <w:tcBorders>
              <w:top w:val="single" w:sz="4" w:space="0" w:color="000000"/>
              <w:left w:val="single" w:sz="4" w:space="0" w:color="000000"/>
              <w:bottom w:val="single" w:sz="4" w:space="0" w:color="000000"/>
              <w:right w:val="nil"/>
            </w:tcBorders>
            <w:noWrap/>
            <w:vAlign w:val="bottom"/>
          </w:tcPr>
          <w:p w:rsidR="00000000" w:rsidRDefault="00BC67ED">
            <w:pPr>
              <w:jc w:val="center"/>
              <w:rPr>
                <w:rFonts w:ascii="Arial" w:hAnsi="Arial" w:cs="Arial"/>
              </w:rPr>
            </w:pPr>
            <w:r>
              <w:rPr>
                <w:rFonts w:ascii="Arial" w:hAnsi="Arial" w:cs="Arial"/>
                <w:b/>
                <w:bCs/>
                <w:i/>
                <w:iCs/>
              </w:rPr>
              <w:t>Total</w:t>
            </w:r>
          </w:p>
        </w:tc>
        <w:tc>
          <w:tcPr>
            <w:tcW w:w="1207" w:type="dxa"/>
            <w:tcBorders>
              <w:top w:val="single" w:sz="4" w:space="0" w:color="000000"/>
              <w:left w:val="single" w:sz="4" w:space="0" w:color="000000"/>
              <w:bottom w:val="single" w:sz="4" w:space="0" w:color="000000"/>
              <w:right w:val="nil"/>
            </w:tcBorders>
            <w:noWrap/>
            <w:vAlign w:val="bottom"/>
          </w:tcPr>
          <w:p w:rsidR="00000000" w:rsidRDefault="00BC67ED">
            <w:pPr>
              <w:jc w:val="right"/>
              <w:rPr>
                <w:rFonts w:ascii="Arial" w:hAnsi="Arial" w:cs="Arial"/>
              </w:rPr>
            </w:pPr>
            <w:r>
              <w:rPr>
                <w:rFonts w:ascii="Arial" w:hAnsi="Arial" w:cs="Arial"/>
              </w:rPr>
              <w:t>4</w:t>
            </w:r>
          </w:p>
        </w:tc>
        <w:tc>
          <w:tcPr>
            <w:tcW w:w="1288" w:type="dxa"/>
            <w:tcBorders>
              <w:top w:val="single" w:sz="4" w:space="0" w:color="000000"/>
              <w:left w:val="nil"/>
              <w:bottom w:val="single" w:sz="4" w:space="0" w:color="000000"/>
              <w:right w:val="nil"/>
            </w:tcBorders>
            <w:noWrap/>
            <w:vAlign w:val="bottom"/>
          </w:tcPr>
          <w:p w:rsidR="00000000" w:rsidRDefault="00BC67ED">
            <w:pPr>
              <w:jc w:val="right"/>
              <w:rPr>
                <w:rFonts w:ascii="Arial" w:hAnsi="Arial" w:cs="Arial"/>
              </w:rPr>
            </w:pPr>
            <w:r>
              <w:rPr>
                <w:rFonts w:ascii="Arial" w:hAnsi="Arial" w:cs="Arial"/>
              </w:rPr>
              <w:t>116</w:t>
            </w:r>
          </w:p>
        </w:tc>
        <w:tc>
          <w:tcPr>
            <w:tcW w:w="847" w:type="dxa"/>
            <w:tcBorders>
              <w:top w:val="single" w:sz="4" w:space="0" w:color="000000"/>
              <w:left w:val="single" w:sz="4" w:space="0" w:color="000000"/>
              <w:bottom w:val="single" w:sz="4" w:space="0" w:color="000000"/>
              <w:right w:val="single" w:sz="4" w:space="0" w:color="000000"/>
            </w:tcBorders>
            <w:noWrap/>
            <w:vAlign w:val="bottom"/>
          </w:tcPr>
          <w:p w:rsidR="00000000" w:rsidRDefault="00BC67ED">
            <w:pPr>
              <w:jc w:val="right"/>
              <w:rPr>
                <w:rFonts w:ascii="Arial" w:hAnsi="Arial" w:cs="Arial"/>
              </w:rPr>
            </w:pPr>
            <w:r>
              <w:rPr>
                <w:rFonts w:ascii="Arial" w:hAnsi="Arial" w:cs="Arial"/>
              </w:rPr>
              <w:t>120</w:t>
            </w:r>
          </w:p>
        </w:tc>
      </w:tr>
    </w:tbl>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jc w:val="center"/>
        <w:rPr>
          <w:rFonts w:ascii="Arial" w:hAnsi="Arial" w:cs="Arial"/>
          <w:b/>
          <w:color w:val="000000"/>
          <w:sz w:val="36"/>
          <w:szCs w:val="20"/>
        </w:rPr>
      </w:pPr>
    </w:p>
    <w:tbl>
      <w:tblPr>
        <w:tblpPr w:leftFromText="141" w:rightFromText="141" w:vertAnchor="text" w:horzAnchor="page" w:tblpX="4359" w:tblpY="146"/>
        <w:tblW w:w="5591" w:type="dxa"/>
        <w:tblCellMar>
          <w:left w:w="70" w:type="dxa"/>
          <w:right w:w="70" w:type="dxa"/>
        </w:tblCellMar>
        <w:tblLook w:val="0000"/>
      </w:tblPr>
      <w:tblGrid>
        <w:gridCol w:w="2182"/>
        <w:gridCol w:w="1207"/>
        <w:gridCol w:w="1288"/>
        <w:gridCol w:w="914"/>
      </w:tblGrid>
      <w:tr w:rsidR="00000000">
        <w:trPr>
          <w:trHeight w:val="360"/>
        </w:trPr>
        <w:tc>
          <w:tcPr>
            <w:tcW w:w="338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1288" w:type="dxa"/>
            <w:tcBorders>
              <w:top w:val="nil"/>
              <w:left w:val="nil"/>
              <w:bottom w:val="single" w:sz="4" w:space="0" w:color="auto"/>
              <w:right w:val="nil"/>
            </w:tcBorders>
            <w:noWrap/>
            <w:vAlign w:val="bottom"/>
          </w:tcPr>
          <w:p w:rsidR="00000000" w:rsidRDefault="00BC67ED">
            <w:pPr>
              <w:rPr>
                <w:rFonts w:ascii="Arial" w:hAnsi="Arial" w:cs="Arial"/>
              </w:rPr>
            </w:pPr>
          </w:p>
        </w:tc>
        <w:tc>
          <w:tcPr>
            <w:tcW w:w="914"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b/>
                <w:bCs/>
              </w:rPr>
            </w:pPr>
            <w:r>
              <w:rPr>
                <w:rFonts w:ascii="Arial" w:hAnsi="Arial" w:cs="Arial"/>
                <w:b/>
                <w:bCs/>
              </w:rPr>
              <w:t>Tabaco</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Negativo</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3,174</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96,825</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Baja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Media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3,333</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96,666</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Gran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8,3</w:t>
            </w:r>
            <w:r>
              <w:rPr>
                <w:rFonts w:ascii="Arial" w:hAnsi="Arial" w:cs="Arial"/>
              </w:rPr>
              <w:t>33</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91,666</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3,333</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96,666</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tabs>
          <w:tab w:val="left" w:pos="1778"/>
          <w:tab w:val="left" w:pos="3706"/>
          <w:tab w:val="left" w:pos="5634"/>
        </w:tabs>
        <w:ind w:left="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1778"/>
          <w:tab w:val="left" w:pos="3706"/>
          <w:tab w:val="left" w:pos="5634"/>
        </w:tabs>
        <w:ind w:left="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1778"/>
          <w:tab w:val="left" w:pos="3706"/>
          <w:tab w:val="left" w:pos="5634"/>
        </w:tabs>
        <w:ind w:left="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1778"/>
          <w:tab w:val="left" w:pos="3706"/>
          <w:tab w:val="left" w:pos="5634"/>
        </w:tabs>
        <w:ind w:left="70"/>
        <w:rPr>
          <w:rFonts w:ascii="Arial" w:hAnsi="Arial" w:cs="Arial"/>
          <w:sz w:val="20"/>
          <w:szCs w:val="20"/>
        </w:rPr>
      </w:pPr>
      <w:r>
        <w:rPr>
          <w:rFonts w:ascii="Arial" w:hAnsi="Arial" w:cs="Arial"/>
          <w:sz w:val="20"/>
          <w:szCs w:val="20"/>
        </w:rPr>
        <w:tab/>
      </w:r>
      <w:r>
        <w:rPr>
          <w:rFonts w:ascii="Arial" w:hAnsi="Arial" w:cs="Arial"/>
          <w:sz w:val="20"/>
          <w:szCs w:val="20"/>
        </w:rPr>
        <w:tab/>
      </w: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p>
    <w:p w:rsidR="00000000" w:rsidRDefault="00BC67ED">
      <w:pPr>
        <w:tabs>
          <w:tab w:val="left" w:pos="1778"/>
          <w:tab w:val="left" w:pos="3706"/>
          <w:tab w:val="left" w:pos="5634"/>
        </w:tabs>
        <w:ind w:left="70"/>
        <w:rPr>
          <w:rFonts w:ascii="Arial" w:hAnsi="Arial" w:cs="Arial"/>
          <w:sz w:val="20"/>
          <w:szCs w:val="20"/>
        </w:rPr>
      </w:pPr>
      <w:r>
        <w:rPr>
          <w:rFonts w:ascii="Arial" w:hAnsi="Arial" w:cs="Arial"/>
          <w:sz w:val="20"/>
          <w:szCs w:val="20"/>
        </w:rPr>
        <w:tab/>
      </w: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tbl>
      <w:tblPr>
        <w:tblpPr w:leftFromText="141" w:rightFromText="141" w:vertAnchor="page" w:horzAnchor="page" w:tblpX="4359" w:tblpY="10549"/>
        <w:tblW w:w="5591" w:type="dxa"/>
        <w:tblCellMar>
          <w:left w:w="70" w:type="dxa"/>
          <w:right w:w="70" w:type="dxa"/>
        </w:tblCellMar>
        <w:tblLook w:val="0000"/>
      </w:tblPr>
      <w:tblGrid>
        <w:gridCol w:w="2182"/>
        <w:gridCol w:w="1207"/>
        <w:gridCol w:w="1288"/>
        <w:gridCol w:w="914"/>
      </w:tblGrid>
      <w:tr w:rsidR="00000000">
        <w:trPr>
          <w:trHeight w:val="360"/>
        </w:trPr>
        <w:tc>
          <w:tcPr>
            <w:tcW w:w="338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1288" w:type="dxa"/>
            <w:tcBorders>
              <w:top w:val="nil"/>
              <w:left w:val="nil"/>
              <w:bottom w:val="single" w:sz="4" w:space="0" w:color="auto"/>
              <w:right w:val="nil"/>
            </w:tcBorders>
            <w:noWrap/>
            <w:vAlign w:val="bottom"/>
          </w:tcPr>
          <w:p w:rsidR="00000000" w:rsidRDefault="00BC67ED">
            <w:pPr>
              <w:rPr>
                <w:rFonts w:ascii="Arial" w:hAnsi="Arial" w:cs="Arial"/>
              </w:rPr>
            </w:pPr>
          </w:p>
        </w:tc>
        <w:tc>
          <w:tcPr>
            <w:tcW w:w="914"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b/>
                <w:bCs/>
              </w:rPr>
            </w:pPr>
            <w:r>
              <w:rPr>
                <w:rFonts w:ascii="Arial" w:hAnsi="Arial" w:cs="Arial"/>
                <w:b/>
                <w:bCs/>
              </w:rPr>
              <w:t>Tabaco</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Negativo</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52,586</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52,5</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Baja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12,931</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12,5</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Media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Gran Frecuencia</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9,482</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w:t>
            </w:r>
          </w:p>
        </w:tc>
      </w:tr>
      <w:tr w:rsidR="00000000">
        <w:trPr>
          <w:trHeight w:val="255"/>
        </w:trPr>
        <w:tc>
          <w:tcPr>
            <w:tcW w:w="2182"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r>
        <w:rPr>
          <w:rFonts w:ascii="Arial" w:hAnsi="Arial" w:cs="Arial"/>
          <w:color w:val="000000"/>
          <w:sz w:val="20"/>
          <w:szCs w:val="20"/>
        </w:rPr>
        <w:tab/>
      </w: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right" w:pos="2880"/>
          <w:tab w:val="right" w:pos="3960"/>
          <w:tab w:val="right" w:pos="5040"/>
          <w:tab w:val="right" w:pos="6120"/>
          <w:tab w:val="right" w:pos="7200"/>
          <w:tab w:val="right" w:pos="8280"/>
          <w:tab w:val="right" w:pos="9360"/>
        </w:tabs>
        <w:autoSpaceDE w:val="0"/>
        <w:autoSpaceDN w:val="0"/>
        <w:adjustRightInd w:val="0"/>
        <w:ind w:left="720" w:right="-720"/>
        <w:rPr>
          <w:rFonts w:ascii="Arial" w:hAnsi="Arial" w:cs="Arial"/>
          <w:color w:val="000000"/>
          <w:sz w:val="20"/>
          <w:szCs w:val="20"/>
        </w:rPr>
      </w:pPr>
    </w:p>
    <w:p w:rsidR="00000000" w:rsidRDefault="00BC67ED">
      <w:pPr>
        <w:tabs>
          <w:tab w:val="center" w:pos="6120"/>
        </w:tabs>
        <w:autoSpaceDE w:val="0"/>
        <w:autoSpaceDN w:val="0"/>
        <w:adjustRightInd w:val="0"/>
        <w:ind w:left="720" w:right="-720"/>
        <w:rPr>
          <w:rFonts w:ascii="Arial" w:hAnsi="Arial" w:cs="Arial"/>
        </w:rPr>
      </w:pPr>
    </w:p>
    <w:p w:rsidR="00000000" w:rsidRDefault="00BC67ED">
      <w:pPr>
        <w:tabs>
          <w:tab w:val="center" w:pos="6120"/>
        </w:tabs>
        <w:autoSpaceDE w:val="0"/>
        <w:autoSpaceDN w:val="0"/>
        <w:adjustRightInd w:val="0"/>
        <w:ind w:left="720" w:right="-720"/>
        <w:rPr>
          <w:rFonts w:ascii="Arial" w:hAnsi="Arial" w:cs="Arial"/>
        </w:rPr>
      </w:pPr>
    </w:p>
    <w:p w:rsidR="00000000" w:rsidRDefault="00BC67ED">
      <w:pPr>
        <w:tabs>
          <w:tab w:val="center" w:pos="6120"/>
        </w:tabs>
        <w:autoSpaceDE w:val="0"/>
        <w:autoSpaceDN w:val="0"/>
        <w:adjustRightInd w:val="0"/>
        <w:ind w:left="720" w:right="-720"/>
        <w:rPr>
          <w:rFonts w:ascii="Arial" w:hAnsi="Arial" w:cs="Arial"/>
        </w:rPr>
      </w:pPr>
    </w:p>
    <w:p w:rsidR="00000000" w:rsidRDefault="00BC67ED">
      <w:pPr>
        <w:tabs>
          <w:tab w:val="left" w:pos="2520"/>
        </w:tabs>
        <w:autoSpaceDE w:val="0"/>
        <w:autoSpaceDN w:val="0"/>
        <w:adjustRightInd w:val="0"/>
        <w:ind w:left="720" w:right="-720"/>
        <w:rPr>
          <w:rFonts w:ascii="Arial" w:hAnsi="Arial" w:cs="Arial"/>
        </w:rPr>
      </w:pPr>
    </w:p>
    <w:p w:rsidR="00000000" w:rsidRDefault="00BC67ED">
      <w:pPr>
        <w:tabs>
          <w:tab w:val="left" w:pos="2520"/>
        </w:tabs>
        <w:autoSpaceDE w:val="0"/>
        <w:autoSpaceDN w:val="0"/>
        <w:adjustRightInd w:val="0"/>
        <w:ind w:left="720" w:right="-720"/>
        <w:rPr>
          <w:rFonts w:ascii="Arial" w:hAnsi="Arial" w:cs="Arial"/>
        </w:rPr>
      </w:pPr>
    </w:p>
    <w:p w:rsidR="00000000" w:rsidRDefault="00BC67ED">
      <w:pPr>
        <w:tabs>
          <w:tab w:val="left" w:pos="2520"/>
        </w:tabs>
        <w:autoSpaceDE w:val="0"/>
        <w:autoSpaceDN w:val="0"/>
        <w:adjustRightInd w:val="0"/>
        <w:ind w:left="720" w:right="-720"/>
        <w:rPr>
          <w:rFonts w:ascii="Arial" w:hAnsi="Arial" w:cs="Arial"/>
        </w:rPr>
      </w:pPr>
    </w:p>
    <w:p w:rsidR="00000000" w:rsidRDefault="00BC67ED">
      <w:pPr>
        <w:spacing w:line="360" w:lineRule="auto"/>
        <w:ind w:firstLine="708"/>
        <w:jc w:val="center"/>
        <w:rPr>
          <w:rFonts w:ascii="Arial" w:hAnsi="Arial" w:cs="Arial"/>
          <w:b/>
        </w:rPr>
      </w:pPr>
      <w:r>
        <w:rPr>
          <w:rFonts w:ascii="Arial" w:hAnsi="Arial" w:cs="Arial"/>
          <w:b/>
        </w:rPr>
        <w:lastRenderedPageBreak/>
        <w:t>FIGURA 4-5</w:t>
      </w:r>
    </w:p>
    <w:p w:rsidR="00000000" w:rsidRDefault="00BC67ED">
      <w:pPr>
        <w:ind w:firstLine="708"/>
        <w:jc w:val="center"/>
        <w:rPr>
          <w:rFonts w:ascii="Arial" w:hAnsi="Arial" w:cs="Arial"/>
          <w:b/>
          <w:caps/>
        </w:rPr>
      </w:pPr>
      <w:r>
        <w:rPr>
          <w:rFonts w:ascii="Arial" w:hAnsi="Arial" w:cs="Arial"/>
          <w:b/>
          <w:caps/>
        </w:rPr>
        <w:t>Gráfico de Correspondencias</w:t>
      </w:r>
    </w:p>
    <w:p w:rsidR="00000000" w:rsidRDefault="00BC67ED">
      <w:pPr>
        <w:spacing w:line="360" w:lineRule="auto"/>
        <w:ind w:firstLine="708"/>
        <w:jc w:val="center"/>
        <w:rPr>
          <w:rFonts w:ascii="Arial" w:hAnsi="Arial" w:cs="Arial"/>
          <w:caps/>
          <w:sz w:val="20"/>
          <w:szCs w:val="20"/>
        </w:rPr>
      </w:pPr>
      <w:r>
        <w:rPr>
          <w:rFonts w:ascii="Arial" w:hAnsi="Arial" w:cs="Arial"/>
          <w:b/>
          <w:caps/>
        </w:rPr>
        <w:t>Tabaco  vs. Esófago de Barret</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tabs>
          <w:tab w:val="left" w:pos="2520"/>
        </w:tabs>
        <w:autoSpaceDE w:val="0"/>
        <w:autoSpaceDN w:val="0"/>
        <w:adjustRightInd w:val="0"/>
        <w:ind w:left="720" w:right="-720"/>
        <w:jc w:val="center"/>
        <w:rPr>
          <w:rFonts w:ascii="Arial" w:hAnsi="Arial" w:cs="Arial"/>
        </w:rPr>
      </w:pPr>
    </w:p>
    <w:p w:rsidR="00000000" w:rsidRDefault="00221239">
      <w:pPr>
        <w:tabs>
          <w:tab w:val="left" w:pos="2520"/>
        </w:tabs>
        <w:autoSpaceDE w:val="0"/>
        <w:autoSpaceDN w:val="0"/>
        <w:adjustRightInd w:val="0"/>
        <w:ind w:left="720" w:right="-720"/>
        <w:jc w:val="center"/>
        <w:rPr>
          <w:rFonts w:ascii="Arial" w:hAnsi="Arial" w:cs="Arial"/>
        </w:rPr>
      </w:pPr>
      <w:r>
        <w:rPr>
          <w:rFonts w:ascii="Arial" w:hAnsi="Arial" w:cs="Arial"/>
          <w:noProof/>
          <w:lang w:val="es-ES" w:eastAsia="es-ES"/>
        </w:rPr>
        <w:drawing>
          <wp:inline distT="0" distB="0" distL="0" distR="0">
            <wp:extent cx="5259705" cy="3950335"/>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6"/>
                    <a:srcRect/>
                    <a:stretch>
                      <a:fillRect/>
                    </a:stretch>
                  </pic:blipFill>
                  <pic:spPr bwMode="auto">
                    <a:xfrm>
                      <a:off x="0" y="0"/>
                      <a:ext cx="5259705" cy="3950335"/>
                    </a:xfrm>
                    <a:prstGeom prst="rect">
                      <a:avLst/>
                    </a:prstGeom>
                    <a:noFill/>
                    <a:ln w="9525">
                      <a:noFill/>
                      <a:miter lim="800000"/>
                      <a:headEnd/>
                      <a:tailEnd/>
                    </a:ln>
                  </pic:spPr>
                </pic:pic>
              </a:graphicData>
            </a:graphic>
          </wp:inline>
        </w:drawing>
      </w:r>
    </w:p>
    <w:p w:rsidR="00000000" w:rsidRDefault="00BC67ED">
      <w:pPr>
        <w:spacing w:line="480" w:lineRule="auto"/>
        <w:ind w:left="1416"/>
        <w:jc w:val="both"/>
      </w:pPr>
    </w:p>
    <w:p w:rsidR="00000000" w:rsidRDefault="00BC67ED">
      <w:pPr>
        <w:pStyle w:val="Textoindependiente"/>
        <w:spacing w:line="480" w:lineRule="auto"/>
        <w:ind w:left="708"/>
        <w:rPr>
          <w:rFonts w:ascii="Arial" w:hAnsi="Arial"/>
        </w:rPr>
      </w:pPr>
      <w:r>
        <w:rPr>
          <w:rFonts w:ascii="Arial" w:hAnsi="Arial"/>
        </w:rPr>
        <w:t>En la figura 4-5 podemos observar la estrecha relación que existe el no consumo de tabaco, el consumo medio y el no tener esófago de barret, tam</w:t>
      </w:r>
      <w:r>
        <w:rPr>
          <w:rFonts w:ascii="Arial" w:hAnsi="Arial"/>
        </w:rPr>
        <w:t>bién podemos decir que el consumo de tabaco con gran frecuencia no es un factor muy determinante para padecer de esófago de barret, tal como lo indica la figura.</w:t>
      </w:r>
    </w:p>
    <w:p w:rsidR="00000000" w:rsidRDefault="00BC67ED">
      <w:pPr>
        <w:pStyle w:val="Textoindependiente"/>
        <w:spacing w:line="480" w:lineRule="auto"/>
        <w:ind w:left="708"/>
        <w:rPr>
          <w:rFonts w:ascii="Arial" w:hAnsi="Arial"/>
        </w:rPr>
      </w:pPr>
    </w:p>
    <w:p w:rsidR="00000000" w:rsidRDefault="00BC67ED">
      <w:pPr>
        <w:spacing w:line="480" w:lineRule="auto"/>
        <w:ind w:left="1416"/>
        <w:jc w:val="both"/>
      </w:pPr>
    </w:p>
    <w:p w:rsidR="00000000" w:rsidRDefault="00BC67ED">
      <w:pPr>
        <w:pStyle w:val="Sangradetextonormal"/>
        <w:tabs>
          <w:tab w:val="left" w:pos="1260"/>
          <w:tab w:val="left" w:pos="1440"/>
        </w:tabs>
        <w:ind w:left="1440"/>
        <w:jc w:val="center"/>
        <w:rPr>
          <w:rFonts w:ascii="Arial" w:hAnsi="Arial" w:cs="Arial"/>
          <w:b/>
          <w:bCs/>
        </w:rPr>
      </w:pPr>
      <w:r>
        <w:rPr>
          <w:rFonts w:ascii="Arial" w:hAnsi="Arial" w:cs="Arial"/>
          <w:b/>
          <w:bCs/>
        </w:rPr>
        <w:lastRenderedPageBreak/>
        <w:t>Tabla XXXVIII</w:t>
      </w:r>
    </w:p>
    <w:p w:rsidR="00000000" w:rsidRDefault="00BC67ED">
      <w:pPr>
        <w:pStyle w:val="Sangradetextonormal"/>
        <w:tabs>
          <w:tab w:val="left" w:pos="1260"/>
          <w:tab w:val="left" w:pos="1440"/>
        </w:tabs>
        <w:ind w:left="1440"/>
        <w:jc w:val="center"/>
        <w:rPr>
          <w:rFonts w:ascii="Arial" w:hAnsi="Arial" w:cs="Arial"/>
          <w:b/>
          <w:bCs/>
        </w:rPr>
      </w:pPr>
      <w:r>
        <w:rPr>
          <w:rFonts w:ascii="Arial" w:hAnsi="Arial" w:cs="Arial"/>
          <w:b/>
          <w:bCs/>
        </w:rPr>
        <w:t>Análisis de Correspondencia de</w:t>
      </w:r>
    </w:p>
    <w:p w:rsidR="00000000" w:rsidRDefault="00BC67ED">
      <w:pPr>
        <w:ind w:left="1416"/>
        <w:jc w:val="center"/>
        <w:rPr>
          <w:rFonts w:ascii="Arial" w:hAnsi="Arial" w:cs="Arial"/>
          <w:sz w:val="20"/>
          <w:szCs w:val="20"/>
        </w:rPr>
      </w:pPr>
      <w:r>
        <w:rPr>
          <w:rFonts w:ascii="Arial" w:hAnsi="Arial" w:cs="Arial"/>
          <w:b/>
        </w:rPr>
        <w:t>Estupefacientes vs. Enfermedades Venéreas</w:t>
      </w:r>
    </w:p>
    <w:p w:rsidR="00000000" w:rsidRDefault="00BC67ED">
      <w:pPr>
        <w:pStyle w:val="Sangradetextonormal"/>
        <w:tabs>
          <w:tab w:val="left" w:pos="1260"/>
          <w:tab w:val="left" w:pos="1440"/>
        </w:tabs>
        <w:ind w:left="1440"/>
        <w:jc w:val="center"/>
        <w:rPr>
          <w:rFonts w:ascii="Arial" w:hAnsi="Arial" w:cs="Arial"/>
          <w:b/>
          <w:bCs/>
        </w:rPr>
      </w:pPr>
    </w:p>
    <w:tbl>
      <w:tblPr>
        <w:tblW w:w="812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49"/>
        <w:gridCol w:w="1849"/>
        <w:gridCol w:w="1980"/>
        <w:gridCol w:w="847"/>
      </w:tblGrid>
      <w:tr w:rsidR="00000000">
        <w:trPr>
          <w:trHeight w:val="255"/>
        </w:trPr>
        <w:tc>
          <w:tcPr>
            <w:tcW w:w="3449" w:type="dxa"/>
            <w:noWrap/>
            <w:vAlign w:val="bottom"/>
          </w:tcPr>
          <w:p w:rsidR="00000000" w:rsidRDefault="00BC67ED">
            <w:pPr>
              <w:jc w:val="center"/>
              <w:rPr>
                <w:rFonts w:ascii="Arial" w:hAnsi="Arial" w:cs="Arial"/>
                <w:b/>
              </w:rPr>
            </w:pPr>
            <w:r>
              <w:rPr>
                <w:rFonts w:ascii="Arial" w:hAnsi="Arial" w:cs="Arial"/>
                <w:b/>
              </w:rPr>
              <w:t>Enfe</w:t>
            </w:r>
            <w:r>
              <w:rPr>
                <w:rFonts w:ascii="Arial" w:hAnsi="Arial" w:cs="Arial"/>
                <w:b/>
              </w:rPr>
              <w:t>rmedades</w:t>
            </w:r>
          </w:p>
        </w:tc>
        <w:tc>
          <w:tcPr>
            <w:tcW w:w="1849" w:type="dxa"/>
            <w:noWrap/>
            <w:vAlign w:val="bottom"/>
          </w:tcPr>
          <w:p w:rsidR="00000000" w:rsidRDefault="00BC67ED">
            <w:pPr>
              <w:jc w:val="center"/>
              <w:rPr>
                <w:rFonts w:ascii="Arial" w:hAnsi="Arial" w:cs="Arial"/>
                <w:b/>
                <w:bCs/>
              </w:rPr>
            </w:pPr>
            <w:r>
              <w:rPr>
                <w:rFonts w:ascii="Arial" w:hAnsi="Arial" w:cs="Arial"/>
                <w:b/>
                <w:bCs/>
              </w:rPr>
              <w:t>Tuvo Enfermedades</w:t>
            </w:r>
          </w:p>
          <w:p w:rsidR="00000000" w:rsidRDefault="00BC67ED">
            <w:pPr>
              <w:jc w:val="center"/>
              <w:rPr>
                <w:rFonts w:ascii="Arial" w:hAnsi="Arial" w:cs="Arial"/>
                <w:b/>
              </w:rPr>
            </w:pPr>
            <w:r>
              <w:rPr>
                <w:rFonts w:ascii="Arial" w:hAnsi="Arial" w:cs="Arial"/>
                <w:b/>
                <w:bCs/>
              </w:rPr>
              <w:t>Venéreas</w:t>
            </w:r>
          </w:p>
        </w:tc>
        <w:tc>
          <w:tcPr>
            <w:tcW w:w="1980" w:type="dxa"/>
            <w:noWrap/>
            <w:vAlign w:val="bottom"/>
          </w:tcPr>
          <w:p w:rsidR="00000000" w:rsidRDefault="00BC67ED">
            <w:pPr>
              <w:jc w:val="center"/>
              <w:rPr>
                <w:rFonts w:ascii="Arial" w:hAnsi="Arial" w:cs="Arial"/>
                <w:b/>
                <w:bCs/>
              </w:rPr>
            </w:pPr>
            <w:r>
              <w:rPr>
                <w:rFonts w:ascii="Arial" w:hAnsi="Arial" w:cs="Arial"/>
                <w:b/>
                <w:bCs/>
              </w:rPr>
              <w:t xml:space="preserve">No tuvo </w:t>
            </w:r>
          </w:p>
          <w:p w:rsidR="00000000" w:rsidRDefault="00BC67ED">
            <w:pPr>
              <w:jc w:val="center"/>
              <w:rPr>
                <w:rFonts w:ascii="Arial" w:hAnsi="Arial" w:cs="Arial"/>
                <w:b/>
                <w:bCs/>
              </w:rPr>
            </w:pPr>
            <w:r>
              <w:rPr>
                <w:rFonts w:ascii="Arial" w:hAnsi="Arial" w:cs="Arial"/>
                <w:b/>
                <w:bCs/>
              </w:rPr>
              <w:t>Enfermedades</w:t>
            </w:r>
          </w:p>
          <w:p w:rsidR="00000000" w:rsidRDefault="00BC67ED">
            <w:pPr>
              <w:jc w:val="center"/>
              <w:rPr>
                <w:rFonts w:ascii="Arial" w:hAnsi="Arial" w:cs="Arial"/>
                <w:b/>
              </w:rPr>
            </w:pPr>
            <w:r>
              <w:rPr>
                <w:rFonts w:ascii="Arial" w:hAnsi="Arial" w:cs="Arial"/>
                <w:b/>
                <w:bCs/>
              </w:rPr>
              <w:t>Venéreas</w:t>
            </w:r>
          </w:p>
        </w:tc>
        <w:tc>
          <w:tcPr>
            <w:tcW w:w="847" w:type="dxa"/>
            <w:noWrap/>
            <w:vAlign w:val="bottom"/>
          </w:tcPr>
          <w:p w:rsidR="00000000" w:rsidRDefault="00BC67ED">
            <w:pPr>
              <w:jc w:val="center"/>
              <w:rPr>
                <w:rFonts w:ascii="Arial" w:hAnsi="Arial" w:cs="Arial"/>
                <w:b/>
              </w:rPr>
            </w:pPr>
            <w:r>
              <w:rPr>
                <w:rFonts w:ascii="Arial" w:hAnsi="Arial" w:cs="Arial"/>
                <w:b/>
              </w:rPr>
              <w:t>Total</w:t>
            </w:r>
          </w:p>
        </w:tc>
      </w:tr>
      <w:tr w:rsidR="00000000">
        <w:trPr>
          <w:trHeight w:val="255"/>
        </w:trPr>
        <w:tc>
          <w:tcPr>
            <w:tcW w:w="3449" w:type="dxa"/>
            <w:noWrap/>
            <w:vAlign w:val="bottom"/>
          </w:tcPr>
          <w:p w:rsidR="00000000" w:rsidRDefault="00BC67ED">
            <w:pPr>
              <w:rPr>
                <w:rFonts w:ascii="Arial" w:hAnsi="Arial" w:cs="Arial"/>
              </w:rPr>
            </w:pPr>
            <w:r>
              <w:rPr>
                <w:rFonts w:ascii="Arial" w:hAnsi="Arial" w:cs="Arial"/>
              </w:rPr>
              <w:t>Estupefacientes</w:t>
            </w:r>
          </w:p>
        </w:tc>
        <w:tc>
          <w:tcPr>
            <w:tcW w:w="1849" w:type="dxa"/>
            <w:noWrap/>
            <w:vAlign w:val="bottom"/>
          </w:tcPr>
          <w:p w:rsidR="00000000" w:rsidRDefault="00BC67ED">
            <w:pPr>
              <w:jc w:val="right"/>
              <w:rPr>
                <w:rFonts w:ascii="Arial" w:hAnsi="Arial" w:cs="Arial"/>
              </w:rPr>
            </w:pPr>
            <w:r>
              <w:rPr>
                <w:rFonts w:ascii="Arial" w:hAnsi="Arial" w:cs="Arial"/>
              </w:rPr>
              <w:t>0</w:t>
            </w:r>
          </w:p>
        </w:tc>
        <w:tc>
          <w:tcPr>
            <w:tcW w:w="1980" w:type="dxa"/>
            <w:noWrap/>
            <w:vAlign w:val="bottom"/>
          </w:tcPr>
          <w:p w:rsidR="00000000" w:rsidRDefault="00BC67ED">
            <w:pPr>
              <w:jc w:val="right"/>
              <w:rPr>
                <w:rFonts w:ascii="Arial" w:hAnsi="Arial" w:cs="Arial"/>
              </w:rPr>
            </w:pPr>
            <w:r>
              <w:rPr>
                <w:rFonts w:ascii="Arial" w:hAnsi="Arial" w:cs="Arial"/>
              </w:rPr>
              <w:t>1</w:t>
            </w:r>
          </w:p>
        </w:tc>
        <w:tc>
          <w:tcPr>
            <w:tcW w:w="847" w:type="dxa"/>
            <w:noWrap/>
            <w:vAlign w:val="bottom"/>
          </w:tcPr>
          <w:p w:rsidR="00000000" w:rsidRDefault="00BC67ED">
            <w:pPr>
              <w:rPr>
                <w:rFonts w:ascii="Arial" w:hAnsi="Arial" w:cs="Arial"/>
              </w:rPr>
            </w:pPr>
          </w:p>
        </w:tc>
      </w:tr>
      <w:tr w:rsidR="00000000">
        <w:trPr>
          <w:trHeight w:val="255"/>
        </w:trPr>
        <w:tc>
          <w:tcPr>
            <w:tcW w:w="3449" w:type="dxa"/>
            <w:noWrap/>
            <w:vAlign w:val="bottom"/>
          </w:tcPr>
          <w:p w:rsidR="00000000" w:rsidRDefault="00BC67ED">
            <w:pPr>
              <w:rPr>
                <w:rFonts w:ascii="Arial" w:hAnsi="Arial" w:cs="Arial"/>
                <w:i/>
                <w:iCs/>
              </w:rPr>
            </w:pPr>
            <w:r>
              <w:rPr>
                <w:rFonts w:ascii="Arial" w:hAnsi="Arial" w:cs="Arial"/>
                <w:i/>
                <w:iCs/>
              </w:rPr>
              <w:t>Consume Estupefacientes</w:t>
            </w:r>
          </w:p>
        </w:tc>
        <w:tc>
          <w:tcPr>
            <w:tcW w:w="1849" w:type="dxa"/>
            <w:noWrap/>
            <w:vAlign w:val="bottom"/>
          </w:tcPr>
          <w:p w:rsidR="00000000" w:rsidRDefault="00BC67ED">
            <w:pPr>
              <w:jc w:val="right"/>
              <w:rPr>
                <w:rFonts w:ascii="Arial" w:hAnsi="Arial" w:cs="Arial"/>
              </w:rPr>
            </w:pPr>
            <w:r>
              <w:rPr>
                <w:rFonts w:ascii="Arial" w:hAnsi="Arial" w:cs="Arial"/>
              </w:rPr>
              <w:t>5</w:t>
            </w:r>
          </w:p>
        </w:tc>
        <w:tc>
          <w:tcPr>
            <w:tcW w:w="1980" w:type="dxa"/>
            <w:noWrap/>
            <w:vAlign w:val="bottom"/>
          </w:tcPr>
          <w:p w:rsidR="00000000" w:rsidRDefault="00BC67ED">
            <w:pPr>
              <w:jc w:val="right"/>
              <w:rPr>
                <w:rFonts w:ascii="Arial" w:hAnsi="Arial" w:cs="Arial"/>
              </w:rPr>
            </w:pPr>
            <w:r>
              <w:rPr>
                <w:rFonts w:ascii="Arial" w:hAnsi="Arial" w:cs="Arial"/>
              </w:rPr>
              <w:t>114</w:t>
            </w:r>
          </w:p>
        </w:tc>
        <w:tc>
          <w:tcPr>
            <w:tcW w:w="847" w:type="dxa"/>
            <w:noWrap/>
            <w:vAlign w:val="bottom"/>
          </w:tcPr>
          <w:p w:rsidR="00000000" w:rsidRDefault="00BC67ED">
            <w:pPr>
              <w:jc w:val="right"/>
              <w:rPr>
                <w:rFonts w:ascii="Arial" w:hAnsi="Arial" w:cs="Arial"/>
              </w:rPr>
            </w:pPr>
            <w:r>
              <w:rPr>
                <w:rFonts w:ascii="Arial" w:hAnsi="Arial" w:cs="Arial"/>
              </w:rPr>
              <w:t>119</w:t>
            </w:r>
          </w:p>
        </w:tc>
      </w:tr>
      <w:tr w:rsidR="00000000">
        <w:trPr>
          <w:trHeight w:val="255"/>
        </w:trPr>
        <w:tc>
          <w:tcPr>
            <w:tcW w:w="3449" w:type="dxa"/>
            <w:noWrap/>
            <w:vAlign w:val="bottom"/>
          </w:tcPr>
          <w:p w:rsidR="00000000" w:rsidRDefault="00BC67ED">
            <w:pPr>
              <w:rPr>
                <w:rFonts w:ascii="Arial" w:hAnsi="Arial" w:cs="Arial"/>
                <w:i/>
                <w:iCs/>
              </w:rPr>
            </w:pPr>
            <w:r>
              <w:rPr>
                <w:rFonts w:ascii="Arial" w:hAnsi="Arial" w:cs="Arial"/>
                <w:i/>
                <w:iCs/>
              </w:rPr>
              <w:t>No Consume Estupefacientes</w:t>
            </w:r>
          </w:p>
        </w:tc>
        <w:tc>
          <w:tcPr>
            <w:tcW w:w="1849" w:type="dxa"/>
            <w:noWrap/>
            <w:vAlign w:val="bottom"/>
          </w:tcPr>
          <w:p w:rsidR="00000000" w:rsidRDefault="00BC67ED">
            <w:pPr>
              <w:jc w:val="right"/>
              <w:rPr>
                <w:rFonts w:ascii="Arial" w:hAnsi="Arial" w:cs="Arial"/>
              </w:rPr>
            </w:pPr>
            <w:r>
              <w:rPr>
                <w:rFonts w:ascii="Arial" w:hAnsi="Arial" w:cs="Arial"/>
              </w:rPr>
              <w:t>1</w:t>
            </w:r>
          </w:p>
        </w:tc>
        <w:tc>
          <w:tcPr>
            <w:tcW w:w="1980" w:type="dxa"/>
            <w:noWrap/>
            <w:vAlign w:val="bottom"/>
          </w:tcPr>
          <w:p w:rsidR="00000000" w:rsidRDefault="00BC67ED">
            <w:pPr>
              <w:jc w:val="right"/>
              <w:rPr>
                <w:rFonts w:ascii="Arial" w:hAnsi="Arial" w:cs="Arial"/>
              </w:rPr>
            </w:pPr>
            <w:r>
              <w:rPr>
                <w:rFonts w:ascii="Arial" w:hAnsi="Arial" w:cs="Arial"/>
              </w:rPr>
              <w:t>0</w:t>
            </w:r>
          </w:p>
        </w:tc>
        <w:tc>
          <w:tcPr>
            <w:tcW w:w="847" w:type="dxa"/>
            <w:noWrap/>
            <w:vAlign w:val="bottom"/>
          </w:tcPr>
          <w:p w:rsidR="00000000" w:rsidRDefault="00BC67ED">
            <w:pPr>
              <w:jc w:val="right"/>
              <w:rPr>
                <w:rFonts w:ascii="Arial" w:hAnsi="Arial" w:cs="Arial"/>
              </w:rPr>
            </w:pPr>
            <w:r>
              <w:rPr>
                <w:rFonts w:ascii="Arial" w:hAnsi="Arial" w:cs="Arial"/>
              </w:rPr>
              <w:t>1</w:t>
            </w:r>
          </w:p>
        </w:tc>
      </w:tr>
      <w:tr w:rsidR="00000000">
        <w:trPr>
          <w:trHeight w:val="255"/>
        </w:trPr>
        <w:tc>
          <w:tcPr>
            <w:tcW w:w="3449" w:type="dxa"/>
            <w:noWrap/>
            <w:vAlign w:val="bottom"/>
          </w:tcPr>
          <w:p w:rsidR="00000000" w:rsidRDefault="00BC67ED">
            <w:pPr>
              <w:jc w:val="center"/>
              <w:rPr>
                <w:rFonts w:ascii="Arial" w:hAnsi="Arial" w:cs="Arial"/>
                <w:b/>
              </w:rPr>
            </w:pPr>
            <w:r>
              <w:rPr>
                <w:rFonts w:ascii="Arial" w:hAnsi="Arial" w:cs="Arial"/>
                <w:b/>
              </w:rPr>
              <w:t>Total</w:t>
            </w:r>
          </w:p>
        </w:tc>
        <w:tc>
          <w:tcPr>
            <w:tcW w:w="1849" w:type="dxa"/>
            <w:noWrap/>
            <w:vAlign w:val="bottom"/>
          </w:tcPr>
          <w:p w:rsidR="00000000" w:rsidRDefault="00BC67ED">
            <w:pPr>
              <w:jc w:val="right"/>
              <w:rPr>
                <w:rFonts w:ascii="Arial" w:hAnsi="Arial" w:cs="Arial"/>
              </w:rPr>
            </w:pPr>
            <w:r>
              <w:rPr>
                <w:rFonts w:ascii="Arial" w:hAnsi="Arial" w:cs="Arial"/>
              </w:rPr>
              <w:t>6</w:t>
            </w:r>
          </w:p>
        </w:tc>
        <w:tc>
          <w:tcPr>
            <w:tcW w:w="1980" w:type="dxa"/>
            <w:noWrap/>
            <w:vAlign w:val="bottom"/>
          </w:tcPr>
          <w:p w:rsidR="00000000" w:rsidRDefault="00BC67ED">
            <w:pPr>
              <w:jc w:val="right"/>
              <w:rPr>
                <w:rFonts w:ascii="Arial" w:hAnsi="Arial" w:cs="Arial"/>
              </w:rPr>
            </w:pPr>
            <w:r>
              <w:rPr>
                <w:rFonts w:ascii="Arial" w:hAnsi="Arial" w:cs="Arial"/>
              </w:rPr>
              <w:t>114</w:t>
            </w:r>
          </w:p>
        </w:tc>
        <w:tc>
          <w:tcPr>
            <w:tcW w:w="847" w:type="dxa"/>
            <w:noWrap/>
            <w:vAlign w:val="bottom"/>
          </w:tcPr>
          <w:p w:rsidR="00000000" w:rsidRDefault="00BC67ED">
            <w:pPr>
              <w:jc w:val="right"/>
              <w:rPr>
                <w:rFonts w:ascii="Arial" w:hAnsi="Arial" w:cs="Arial"/>
              </w:rPr>
            </w:pPr>
            <w:r>
              <w:rPr>
                <w:rFonts w:ascii="Arial" w:hAnsi="Arial" w:cs="Arial"/>
              </w:rPr>
              <w:t>120</w:t>
            </w:r>
          </w:p>
        </w:tc>
      </w:tr>
    </w:tbl>
    <w:p w:rsidR="00000000" w:rsidRDefault="00BC67ED">
      <w:pPr>
        <w:pStyle w:val="Sangradetextonormal"/>
        <w:tabs>
          <w:tab w:val="left" w:pos="1260"/>
          <w:tab w:val="left" w:pos="1440"/>
        </w:tabs>
        <w:ind w:left="1440"/>
        <w:jc w:val="center"/>
        <w:rPr>
          <w:rFonts w:ascii="Arial" w:hAnsi="Arial" w:cs="Arial"/>
          <w:b/>
          <w:bCs/>
        </w:rPr>
      </w:pPr>
    </w:p>
    <w:tbl>
      <w:tblPr>
        <w:tblpPr w:leftFromText="141" w:rightFromText="141" w:vertAnchor="text" w:horzAnchor="page" w:tblpX="3279" w:tblpY="293"/>
        <w:tblW w:w="8364" w:type="dxa"/>
        <w:tblCellMar>
          <w:left w:w="70" w:type="dxa"/>
          <w:right w:w="70" w:type="dxa"/>
        </w:tblCellMar>
        <w:tblLook w:val="0000"/>
      </w:tblPr>
      <w:tblGrid>
        <w:gridCol w:w="3378"/>
        <w:gridCol w:w="2092"/>
        <w:gridCol w:w="1980"/>
        <w:gridCol w:w="914"/>
      </w:tblGrid>
      <w:tr w:rsidR="00000000">
        <w:trPr>
          <w:trHeight w:val="360"/>
        </w:trPr>
        <w:tc>
          <w:tcPr>
            <w:tcW w:w="547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1980" w:type="dxa"/>
            <w:tcBorders>
              <w:top w:val="nil"/>
              <w:left w:val="nil"/>
              <w:bottom w:val="single" w:sz="4" w:space="0" w:color="auto"/>
              <w:right w:val="nil"/>
            </w:tcBorders>
            <w:noWrap/>
            <w:vAlign w:val="bottom"/>
          </w:tcPr>
          <w:p w:rsidR="00000000" w:rsidRDefault="00BC67ED">
            <w:pPr>
              <w:rPr>
                <w:rFonts w:ascii="Arial" w:hAnsi="Arial" w:cs="Arial"/>
              </w:rPr>
            </w:pPr>
          </w:p>
        </w:tc>
        <w:tc>
          <w:tcPr>
            <w:tcW w:w="914"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3378"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Estupefacientes</w:t>
            </w:r>
          </w:p>
        </w:tc>
        <w:tc>
          <w:tcPr>
            <w:tcW w:w="2092"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Tuvo Enfermedades</w:t>
            </w:r>
          </w:p>
          <w:p w:rsidR="00000000" w:rsidRDefault="00BC67ED">
            <w:pPr>
              <w:jc w:val="center"/>
              <w:rPr>
                <w:rFonts w:ascii="Arial" w:hAnsi="Arial" w:cs="Arial"/>
                <w:b/>
                <w:bCs/>
              </w:rPr>
            </w:pPr>
            <w:r>
              <w:rPr>
                <w:rFonts w:ascii="Arial" w:hAnsi="Arial" w:cs="Arial"/>
                <w:b/>
                <w:bCs/>
              </w:rPr>
              <w:t>Venéreas</w:t>
            </w:r>
          </w:p>
        </w:tc>
        <w:tc>
          <w:tcPr>
            <w:tcW w:w="1980"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No tuvo Enfer</w:t>
            </w:r>
            <w:r>
              <w:rPr>
                <w:rFonts w:ascii="Arial" w:hAnsi="Arial" w:cs="Arial"/>
                <w:b/>
                <w:bCs/>
              </w:rPr>
              <w:t>medades</w:t>
            </w:r>
          </w:p>
          <w:p w:rsidR="00000000" w:rsidRDefault="00BC67ED">
            <w:pPr>
              <w:jc w:val="center"/>
              <w:rPr>
                <w:rFonts w:ascii="Arial" w:hAnsi="Arial" w:cs="Arial"/>
                <w:b/>
                <w:bCs/>
              </w:rPr>
            </w:pPr>
            <w:r>
              <w:rPr>
                <w:rFonts w:ascii="Arial" w:hAnsi="Arial" w:cs="Arial"/>
                <w:b/>
                <w:bCs/>
              </w:rPr>
              <w:t>Venéreas</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3378"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Consume Estupefacientes</w:t>
            </w:r>
          </w:p>
        </w:tc>
        <w:tc>
          <w:tcPr>
            <w:tcW w:w="2092"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4,202</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95,798</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3378"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 Consume Estupefacientes</w:t>
            </w:r>
          </w:p>
        </w:tc>
        <w:tc>
          <w:tcPr>
            <w:tcW w:w="2092"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3378"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2092"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95</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tbl>
      <w:tblPr>
        <w:tblpPr w:leftFromText="141" w:rightFromText="141" w:vertAnchor="page" w:horzAnchor="page" w:tblpX="3256" w:tblpY="9109"/>
        <w:tblW w:w="8350" w:type="dxa"/>
        <w:tblCellMar>
          <w:left w:w="70" w:type="dxa"/>
          <w:right w:w="70" w:type="dxa"/>
        </w:tblCellMar>
        <w:tblLook w:val="0000"/>
      </w:tblPr>
      <w:tblGrid>
        <w:gridCol w:w="3449"/>
        <w:gridCol w:w="2021"/>
        <w:gridCol w:w="1980"/>
        <w:gridCol w:w="900"/>
      </w:tblGrid>
      <w:tr w:rsidR="00000000">
        <w:trPr>
          <w:trHeight w:val="360"/>
        </w:trPr>
        <w:tc>
          <w:tcPr>
            <w:tcW w:w="547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1980" w:type="dxa"/>
            <w:tcBorders>
              <w:top w:val="nil"/>
              <w:left w:val="nil"/>
              <w:bottom w:val="single" w:sz="4" w:space="0" w:color="auto"/>
              <w:right w:val="nil"/>
            </w:tcBorders>
            <w:noWrap/>
            <w:vAlign w:val="bottom"/>
          </w:tcPr>
          <w:p w:rsidR="00000000" w:rsidRDefault="00BC67ED">
            <w:pPr>
              <w:rPr>
                <w:rFonts w:ascii="Arial" w:hAnsi="Arial" w:cs="Arial"/>
              </w:rPr>
            </w:pPr>
          </w:p>
        </w:tc>
        <w:tc>
          <w:tcPr>
            <w:tcW w:w="900"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3449"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Estupefacientes</w:t>
            </w:r>
          </w:p>
        </w:tc>
        <w:tc>
          <w:tcPr>
            <w:tcW w:w="2021"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Tuvo Enfermedades</w:t>
            </w:r>
          </w:p>
          <w:p w:rsidR="00000000" w:rsidRDefault="00BC67ED">
            <w:pPr>
              <w:jc w:val="center"/>
              <w:rPr>
                <w:rFonts w:ascii="Arial" w:hAnsi="Arial" w:cs="Arial"/>
                <w:b/>
                <w:bCs/>
              </w:rPr>
            </w:pPr>
            <w:r>
              <w:rPr>
                <w:rFonts w:ascii="Arial" w:hAnsi="Arial" w:cs="Arial"/>
                <w:b/>
                <w:bCs/>
              </w:rPr>
              <w:t>Venéreas</w:t>
            </w:r>
          </w:p>
        </w:tc>
        <w:tc>
          <w:tcPr>
            <w:tcW w:w="1980"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No tuvo Enfermedades</w:t>
            </w:r>
          </w:p>
          <w:p w:rsidR="00000000" w:rsidRDefault="00BC67ED">
            <w:pPr>
              <w:jc w:val="center"/>
              <w:rPr>
                <w:rFonts w:ascii="Arial" w:hAnsi="Arial" w:cs="Arial"/>
                <w:b/>
                <w:bCs/>
              </w:rPr>
            </w:pPr>
            <w:r>
              <w:rPr>
                <w:rFonts w:ascii="Arial" w:hAnsi="Arial" w:cs="Arial"/>
                <w:b/>
                <w:bCs/>
                <w:vanish/>
              </w:rPr>
              <w:cr/>
              <w:t xml:space="preserve">Enfermedades </w:t>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vanish/>
              </w:rPr>
              <w:pgNum/>
            </w:r>
            <w:r>
              <w:rPr>
                <w:rFonts w:ascii="Arial" w:hAnsi="Arial" w:cs="Arial"/>
                <w:b/>
                <w:bCs/>
              </w:rPr>
              <w:t>Venéreas</w:t>
            </w:r>
          </w:p>
        </w:tc>
        <w:tc>
          <w:tcPr>
            <w:tcW w:w="900"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3449"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Consume Estupefacientes</w:t>
            </w:r>
          </w:p>
        </w:tc>
        <w:tc>
          <w:tcPr>
            <w:tcW w:w="2021"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83,333</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90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99,167</w:t>
            </w:r>
          </w:p>
        </w:tc>
      </w:tr>
      <w:tr w:rsidR="00000000">
        <w:trPr>
          <w:trHeight w:val="255"/>
        </w:trPr>
        <w:tc>
          <w:tcPr>
            <w:tcW w:w="3449"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 Consume Estupefacientes</w:t>
            </w:r>
          </w:p>
        </w:tc>
        <w:tc>
          <w:tcPr>
            <w:tcW w:w="2021"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16,6667</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90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0,8333</w:t>
            </w:r>
          </w:p>
        </w:tc>
      </w:tr>
      <w:tr w:rsidR="00000000">
        <w:trPr>
          <w:trHeight w:val="255"/>
        </w:trPr>
        <w:tc>
          <w:tcPr>
            <w:tcW w:w="3449"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2021"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98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90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spacing w:line="360" w:lineRule="auto"/>
        <w:ind w:firstLine="708"/>
        <w:jc w:val="center"/>
        <w:rPr>
          <w:rFonts w:ascii="Arial" w:hAnsi="Arial" w:cs="Arial"/>
          <w:b/>
        </w:rPr>
      </w:pPr>
      <w:r>
        <w:rPr>
          <w:rFonts w:ascii="Arial" w:hAnsi="Arial" w:cs="Arial"/>
          <w:b/>
        </w:rPr>
        <w:lastRenderedPageBreak/>
        <w:t>FIGURA 4-6</w:t>
      </w:r>
    </w:p>
    <w:p w:rsidR="00000000" w:rsidRDefault="00BC67ED">
      <w:pPr>
        <w:ind w:firstLine="708"/>
        <w:jc w:val="center"/>
        <w:rPr>
          <w:rFonts w:ascii="Arial" w:hAnsi="Arial" w:cs="Arial"/>
          <w:b/>
          <w:caps/>
        </w:rPr>
      </w:pPr>
      <w:r>
        <w:rPr>
          <w:rFonts w:ascii="Arial" w:hAnsi="Arial" w:cs="Arial"/>
          <w:b/>
          <w:caps/>
        </w:rPr>
        <w:t>Gráfico de Correspond</w:t>
      </w:r>
      <w:r>
        <w:rPr>
          <w:rFonts w:ascii="Arial" w:hAnsi="Arial" w:cs="Arial"/>
          <w:b/>
          <w:caps/>
        </w:rPr>
        <w:t>encias</w:t>
      </w:r>
    </w:p>
    <w:p w:rsidR="00000000" w:rsidRDefault="00BC67ED">
      <w:pPr>
        <w:ind w:left="708"/>
        <w:jc w:val="center"/>
        <w:rPr>
          <w:rFonts w:ascii="Arial" w:hAnsi="Arial" w:cs="Arial"/>
          <w:caps/>
          <w:sz w:val="20"/>
          <w:szCs w:val="20"/>
        </w:rPr>
      </w:pPr>
      <w:r>
        <w:rPr>
          <w:rFonts w:ascii="Arial" w:hAnsi="Arial" w:cs="Arial"/>
          <w:b/>
          <w:caps/>
        </w:rPr>
        <w:t>Estupefacientes vs. Enfermedades Venéreas</w:t>
      </w:r>
    </w:p>
    <w:p w:rsidR="00000000" w:rsidRDefault="00BC67ED">
      <w:pPr>
        <w:ind w:firstLine="708"/>
        <w:jc w:val="center"/>
        <w:rPr>
          <w:rFonts w:ascii="Arial" w:hAnsi="Arial" w:cs="Arial"/>
          <w:b/>
        </w:rPr>
      </w:pPr>
      <w:r>
        <w:rPr>
          <w:rFonts w:ascii="Arial" w:hAnsi="Arial" w:cs="Arial"/>
          <w:b/>
        </w:rPr>
        <w:t xml:space="preserve"> (Cáncer de Esófago)</w:t>
      </w:r>
    </w:p>
    <w:p w:rsidR="00000000" w:rsidRDefault="00BC67ED">
      <w:pPr>
        <w:pStyle w:val="Sangradetextonormal"/>
        <w:tabs>
          <w:tab w:val="left" w:pos="1260"/>
          <w:tab w:val="left" w:pos="1440"/>
        </w:tabs>
        <w:ind w:left="708"/>
        <w:jc w:val="center"/>
        <w:rPr>
          <w:rFonts w:ascii="Arial" w:hAnsi="Arial" w:cs="Arial"/>
          <w:b/>
          <w:bCs/>
        </w:rPr>
      </w:pPr>
    </w:p>
    <w:p w:rsidR="00000000" w:rsidRDefault="00221239">
      <w:pPr>
        <w:pStyle w:val="Sangradetextonormal"/>
        <w:tabs>
          <w:tab w:val="left" w:pos="1260"/>
        </w:tabs>
        <w:ind w:left="708"/>
        <w:jc w:val="center"/>
        <w:rPr>
          <w:rFonts w:ascii="Arial" w:hAnsi="Arial" w:cs="Arial"/>
          <w:b/>
          <w:bCs/>
        </w:rPr>
      </w:pPr>
      <w:r>
        <w:rPr>
          <w:rFonts w:ascii="Arial" w:hAnsi="Arial" w:cs="Arial"/>
          <w:b/>
          <w:bCs/>
          <w:noProof/>
          <w:lang w:val="es-ES" w:eastAsia="es-ES"/>
        </w:rPr>
        <w:drawing>
          <wp:inline distT="0" distB="0" distL="0" distR="0">
            <wp:extent cx="5149850" cy="4688840"/>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87"/>
                    <a:srcRect/>
                    <a:stretch>
                      <a:fillRect/>
                    </a:stretch>
                  </pic:blipFill>
                  <pic:spPr bwMode="auto">
                    <a:xfrm>
                      <a:off x="0" y="0"/>
                      <a:ext cx="5149850" cy="4688840"/>
                    </a:xfrm>
                    <a:prstGeom prst="rect">
                      <a:avLst/>
                    </a:prstGeom>
                    <a:noFill/>
                    <a:ln w="9525">
                      <a:noFill/>
                      <a:miter lim="800000"/>
                      <a:headEnd/>
                      <a:tailEnd/>
                    </a:ln>
                  </pic:spPr>
                </pic:pic>
              </a:graphicData>
            </a:graphic>
          </wp:inline>
        </w:drawing>
      </w:r>
    </w:p>
    <w:p w:rsidR="00000000" w:rsidRDefault="00BC67ED">
      <w:pPr>
        <w:pStyle w:val="Textoindependiente"/>
        <w:spacing w:line="480" w:lineRule="auto"/>
        <w:ind w:left="708"/>
        <w:rPr>
          <w:rFonts w:ascii="Arial" w:hAnsi="Arial"/>
        </w:rPr>
      </w:pPr>
      <w:r>
        <w:rPr>
          <w:rFonts w:ascii="Arial" w:hAnsi="Arial"/>
        </w:rPr>
        <w:t>En la figura 4-6 podemos observar la fuerte relación que existe entre los pacientes que usan estupefacientes y los que no tuvieron algún tipo de enfermedad venérea y lo que es análisi</w:t>
      </w:r>
      <w:r>
        <w:rPr>
          <w:rFonts w:ascii="Arial" w:hAnsi="Arial"/>
        </w:rPr>
        <w:t xml:space="preserve">s de correspondencias muestra es algo muy interesante, puesto que de cierta manera un adicto se cuida de contraer algún tipo de enfermedad venérea. </w:t>
      </w:r>
    </w:p>
    <w:p w:rsidR="00000000" w:rsidRDefault="00BC67ED">
      <w:pPr>
        <w:pStyle w:val="Sangradetextonormal"/>
        <w:tabs>
          <w:tab w:val="left" w:pos="1260"/>
          <w:tab w:val="left" w:pos="1440"/>
        </w:tabs>
        <w:ind w:left="708"/>
        <w:jc w:val="center"/>
        <w:rPr>
          <w:rFonts w:ascii="Arial" w:hAnsi="Arial" w:cs="Arial"/>
          <w:b/>
          <w:bCs/>
        </w:rPr>
      </w:pP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lastRenderedPageBreak/>
        <w:t>Tabla XXXIX</w:t>
      </w: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t>Análisis de Correspondencia del</w:t>
      </w:r>
    </w:p>
    <w:p w:rsidR="00000000" w:rsidRDefault="00BC67ED">
      <w:pPr>
        <w:ind w:left="348"/>
        <w:jc w:val="center"/>
        <w:rPr>
          <w:rFonts w:ascii="Arial" w:hAnsi="Arial" w:cs="Arial"/>
          <w:sz w:val="20"/>
          <w:szCs w:val="20"/>
        </w:rPr>
      </w:pPr>
      <w:r>
        <w:rPr>
          <w:rFonts w:ascii="Arial" w:hAnsi="Arial" w:cs="Arial"/>
          <w:b/>
        </w:rPr>
        <w:t xml:space="preserve">     Esófago de Barret vs. Cáncer Epidermoide</w:t>
      </w:r>
    </w:p>
    <w:p w:rsidR="00000000" w:rsidRDefault="00BC67ED">
      <w:pPr>
        <w:spacing w:line="480" w:lineRule="auto"/>
        <w:ind w:left="684"/>
        <w:jc w:val="both"/>
      </w:pP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pPr w:leftFromText="141" w:rightFromText="141" w:vertAnchor="text" w:horzAnchor="margin" w:tblpXSpec="right" w:tblpY="-48"/>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1"/>
        <w:gridCol w:w="1608"/>
        <w:gridCol w:w="1608"/>
        <w:gridCol w:w="992"/>
      </w:tblGrid>
      <w:tr w:rsidR="00000000">
        <w:trPr>
          <w:trHeight w:val="255"/>
        </w:trPr>
        <w:tc>
          <w:tcPr>
            <w:tcW w:w="2341" w:type="dxa"/>
            <w:noWrap/>
            <w:vAlign w:val="bottom"/>
          </w:tcPr>
          <w:p w:rsidR="00000000" w:rsidRDefault="00BC67ED">
            <w:pPr>
              <w:jc w:val="center"/>
              <w:rPr>
                <w:rFonts w:ascii="Arial" w:hAnsi="Arial" w:cs="Arial"/>
                <w:b/>
                <w:bCs/>
              </w:rPr>
            </w:pPr>
            <w:r>
              <w:rPr>
                <w:rFonts w:ascii="Arial" w:hAnsi="Arial" w:cs="Arial"/>
                <w:b/>
                <w:bCs/>
              </w:rPr>
              <w:t xml:space="preserve">Esofago de </w:t>
            </w:r>
            <w:r>
              <w:rPr>
                <w:rFonts w:ascii="Arial" w:hAnsi="Arial" w:cs="Arial"/>
                <w:b/>
                <w:bCs/>
              </w:rPr>
              <w:t>Barret</w:t>
            </w:r>
          </w:p>
        </w:tc>
        <w:tc>
          <w:tcPr>
            <w:tcW w:w="1608" w:type="dxa"/>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Positivo</w:t>
            </w:r>
          </w:p>
        </w:tc>
        <w:tc>
          <w:tcPr>
            <w:tcW w:w="1608" w:type="dxa"/>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Negativo</w:t>
            </w:r>
          </w:p>
        </w:tc>
        <w:tc>
          <w:tcPr>
            <w:tcW w:w="992" w:type="dxa"/>
            <w:noWrap/>
            <w:vAlign w:val="bottom"/>
          </w:tcPr>
          <w:p w:rsidR="00000000" w:rsidRDefault="00BC67ED">
            <w:pPr>
              <w:jc w:val="center"/>
              <w:rPr>
                <w:rFonts w:ascii="Arial" w:hAnsi="Arial" w:cs="Arial"/>
                <w:b/>
                <w:bCs/>
                <w:i/>
                <w:iCs/>
              </w:rPr>
            </w:pPr>
            <w:r>
              <w:rPr>
                <w:rFonts w:ascii="Arial" w:hAnsi="Arial" w:cs="Arial"/>
                <w:b/>
                <w:bCs/>
                <w:i/>
                <w:iCs/>
              </w:rPr>
              <w:t>Total</w:t>
            </w:r>
          </w:p>
        </w:tc>
      </w:tr>
      <w:tr w:rsidR="00000000">
        <w:trPr>
          <w:trHeight w:val="255"/>
        </w:trPr>
        <w:tc>
          <w:tcPr>
            <w:tcW w:w="2341" w:type="dxa"/>
            <w:noWrap/>
            <w:vAlign w:val="bottom"/>
          </w:tcPr>
          <w:p w:rsidR="00000000" w:rsidRDefault="00BC67ED">
            <w:pPr>
              <w:rPr>
                <w:rFonts w:ascii="Arial" w:hAnsi="Arial" w:cs="Arial"/>
                <w:i/>
                <w:iCs/>
              </w:rPr>
            </w:pPr>
            <w:r>
              <w:rPr>
                <w:rFonts w:ascii="Arial" w:hAnsi="Arial" w:cs="Arial"/>
                <w:i/>
                <w:iCs/>
              </w:rPr>
              <w:t>Barret Positivo</w:t>
            </w:r>
          </w:p>
        </w:tc>
        <w:tc>
          <w:tcPr>
            <w:tcW w:w="1608" w:type="dxa"/>
            <w:noWrap/>
            <w:vAlign w:val="bottom"/>
          </w:tcPr>
          <w:p w:rsidR="00000000" w:rsidRDefault="00BC67ED">
            <w:pPr>
              <w:jc w:val="right"/>
              <w:rPr>
                <w:rFonts w:ascii="Arial" w:hAnsi="Arial" w:cs="Arial"/>
              </w:rPr>
            </w:pPr>
            <w:r>
              <w:rPr>
                <w:rFonts w:ascii="Arial" w:hAnsi="Arial" w:cs="Arial"/>
              </w:rPr>
              <w:t>1</w:t>
            </w:r>
          </w:p>
        </w:tc>
        <w:tc>
          <w:tcPr>
            <w:tcW w:w="1608" w:type="dxa"/>
            <w:noWrap/>
            <w:vAlign w:val="bottom"/>
          </w:tcPr>
          <w:p w:rsidR="00000000" w:rsidRDefault="00BC67ED">
            <w:pPr>
              <w:jc w:val="right"/>
              <w:rPr>
                <w:rFonts w:ascii="Arial" w:hAnsi="Arial" w:cs="Arial"/>
              </w:rPr>
            </w:pPr>
            <w:r>
              <w:rPr>
                <w:rFonts w:ascii="Arial" w:hAnsi="Arial" w:cs="Arial"/>
              </w:rPr>
              <w:t>3</w:t>
            </w:r>
          </w:p>
        </w:tc>
        <w:tc>
          <w:tcPr>
            <w:tcW w:w="992" w:type="dxa"/>
            <w:noWrap/>
            <w:vAlign w:val="bottom"/>
          </w:tcPr>
          <w:p w:rsidR="00000000" w:rsidRDefault="00BC67ED">
            <w:pPr>
              <w:jc w:val="right"/>
              <w:rPr>
                <w:rFonts w:ascii="Arial" w:hAnsi="Arial" w:cs="Arial"/>
              </w:rPr>
            </w:pPr>
            <w:r>
              <w:rPr>
                <w:rFonts w:ascii="Arial" w:hAnsi="Arial" w:cs="Arial"/>
              </w:rPr>
              <w:t>4</w:t>
            </w:r>
          </w:p>
        </w:tc>
      </w:tr>
      <w:tr w:rsidR="00000000">
        <w:trPr>
          <w:trHeight w:val="255"/>
        </w:trPr>
        <w:tc>
          <w:tcPr>
            <w:tcW w:w="2341" w:type="dxa"/>
            <w:noWrap/>
            <w:vAlign w:val="bottom"/>
          </w:tcPr>
          <w:p w:rsidR="00000000" w:rsidRDefault="00BC67ED">
            <w:pPr>
              <w:rPr>
                <w:rFonts w:ascii="Arial" w:hAnsi="Arial" w:cs="Arial"/>
                <w:i/>
                <w:iCs/>
              </w:rPr>
            </w:pPr>
            <w:r>
              <w:rPr>
                <w:rFonts w:ascii="Arial" w:hAnsi="Arial" w:cs="Arial"/>
                <w:i/>
                <w:iCs/>
              </w:rPr>
              <w:t>Barret Negativo</w:t>
            </w:r>
          </w:p>
        </w:tc>
        <w:tc>
          <w:tcPr>
            <w:tcW w:w="1608" w:type="dxa"/>
            <w:noWrap/>
            <w:vAlign w:val="bottom"/>
          </w:tcPr>
          <w:p w:rsidR="00000000" w:rsidRDefault="00BC67ED">
            <w:pPr>
              <w:jc w:val="right"/>
              <w:rPr>
                <w:rFonts w:ascii="Arial" w:hAnsi="Arial" w:cs="Arial"/>
              </w:rPr>
            </w:pPr>
            <w:r>
              <w:rPr>
                <w:rFonts w:ascii="Arial" w:hAnsi="Arial" w:cs="Arial"/>
              </w:rPr>
              <w:t>1</w:t>
            </w:r>
          </w:p>
        </w:tc>
        <w:tc>
          <w:tcPr>
            <w:tcW w:w="1608" w:type="dxa"/>
            <w:noWrap/>
            <w:vAlign w:val="bottom"/>
          </w:tcPr>
          <w:p w:rsidR="00000000" w:rsidRDefault="00BC67ED">
            <w:pPr>
              <w:jc w:val="right"/>
              <w:rPr>
                <w:rFonts w:ascii="Arial" w:hAnsi="Arial" w:cs="Arial"/>
              </w:rPr>
            </w:pPr>
            <w:r>
              <w:rPr>
                <w:rFonts w:ascii="Arial" w:hAnsi="Arial" w:cs="Arial"/>
              </w:rPr>
              <w:t>115</w:t>
            </w:r>
          </w:p>
        </w:tc>
        <w:tc>
          <w:tcPr>
            <w:tcW w:w="992" w:type="dxa"/>
            <w:noWrap/>
            <w:vAlign w:val="bottom"/>
          </w:tcPr>
          <w:p w:rsidR="00000000" w:rsidRDefault="00BC67ED">
            <w:pPr>
              <w:jc w:val="right"/>
              <w:rPr>
                <w:rFonts w:ascii="Arial" w:hAnsi="Arial" w:cs="Arial"/>
              </w:rPr>
            </w:pPr>
            <w:r>
              <w:rPr>
                <w:rFonts w:ascii="Arial" w:hAnsi="Arial" w:cs="Arial"/>
              </w:rPr>
              <w:t>116</w:t>
            </w:r>
          </w:p>
        </w:tc>
      </w:tr>
      <w:tr w:rsidR="00000000">
        <w:trPr>
          <w:trHeight w:val="255"/>
        </w:trPr>
        <w:tc>
          <w:tcPr>
            <w:tcW w:w="2341"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608" w:type="dxa"/>
            <w:noWrap/>
            <w:vAlign w:val="bottom"/>
          </w:tcPr>
          <w:p w:rsidR="00000000" w:rsidRDefault="00BC67ED">
            <w:pPr>
              <w:jc w:val="right"/>
              <w:rPr>
                <w:rFonts w:ascii="Arial" w:hAnsi="Arial" w:cs="Arial"/>
              </w:rPr>
            </w:pPr>
            <w:r>
              <w:rPr>
                <w:rFonts w:ascii="Arial" w:hAnsi="Arial" w:cs="Arial"/>
              </w:rPr>
              <w:t>2</w:t>
            </w:r>
          </w:p>
        </w:tc>
        <w:tc>
          <w:tcPr>
            <w:tcW w:w="1608" w:type="dxa"/>
            <w:noWrap/>
            <w:vAlign w:val="bottom"/>
          </w:tcPr>
          <w:p w:rsidR="00000000" w:rsidRDefault="00BC67ED">
            <w:pPr>
              <w:jc w:val="right"/>
              <w:rPr>
                <w:rFonts w:ascii="Arial" w:hAnsi="Arial" w:cs="Arial"/>
              </w:rPr>
            </w:pPr>
            <w:r>
              <w:rPr>
                <w:rFonts w:ascii="Arial" w:hAnsi="Arial" w:cs="Arial"/>
              </w:rPr>
              <w:t>118</w:t>
            </w:r>
          </w:p>
        </w:tc>
        <w:tc>
          <w:tcPr>
            <w:tcW w:w="992" w:type="dxa"/>
            <w:noWrap/>
            <w:vAlign w:val="bottom"/>
          </w:tcPr>
          <w:p w:rsidR="00000000" w:rsidRDefault="00BC67ED">
            <w:pPr>
              <w:jc w:val="right"/>
              <w:rPr>
                <w:rFonts w:ascii="Arial" w:hAnsi="Arial" w:cs="Arial"/>
              </w:rPr>
            </w:pPr>
            <w:r>
              <w:rPr>
                <w:rFonts w:ascii="Arial" w:hAnsi="Arial" w:cs="Arial"/>
              </w:rPr>
              <w:t>120</w:t>
            </w:r>
          </w:p>
        </w:tc>
      </w:tr>
    </w:tbl>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pPr w:leftFromText="141" w:rightFromText="141" w:vertAnchor="text" w:horzAnchor="margin" w:tblpXSpec="right" w:tblpY="142"/>
        <w:tblW w:w="6576" w:type="dxa"/>
        <w:tblCellMar>
          <w:left w:w="70" w:type="dxa"/>
          <w:right w:w="70" w:type="dxa"/>
        </w:tblCellMar>
        <w:tblLook w:val="0000"/>
      </w:tblPr>
      <w:tblGrid>
        <w:gridCol w:w="2410"/>
        <w:gridCol w:w="1620"/>
        <w:gridCol w:w="1620"/>
        <w:gridCol w:w="926"/>
      </w:tblGrid>
      <w:tr w:rsidR="00000000">
        <w:trPr>
          <w:trHeight w:val="360"/>
        </w:trPr>
        <w:tc>
          <w:tcPr>
            <w:tcW w:w="403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1620" w:type="dxa"/>
            <w:tcBorders>
              <w:top w:val="nil"/>
              <w:left w:val="nil"/>
              <w:bottom w:val="single" w:sz="4" w:space="0" w:color="auto"/>
              <w:right w:val="nil"/>
            </w:tcBorders>
            <w:noWrap/>
            <w:vAlign w:val="bottom"/>
          </w:tcPr>
          <w:p w:rsidR="00000000" w:rsidRDefault="00BC67ED">
            <w:pPr>
              <w:rPr>
                <w:rFonts w:ascii="Arial" w:hAnsi="Arial" w:cs="Arial"/>
              </w:rPr>
            </w:pPr>
          </w:p>
        </w:tc>
        <w:tc>
          <w:tcPr>
            <w:tcW w:w="926"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2410"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Esofago de Barret</w:t>
            </w:r>
          </w:p>
        </w:tc>
        <w:tc>
          <w:tcPr>
            <w:tcW w:w="1620"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Positivo</w:t>
            </w:r>
          </w:p>
        </w:tc>
        <w:tc>
          <w:tcPr>
            <w:tcW w:w="1620"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Negativo</w:t>
            </w:r>
          </w:p>
        </w:tc>
        <w:tc>
          <w:tcPr>
            <w:tcW w:w="926"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Total</w:t>
            </w:r>
          </w:p>
        </w:tc>
      </w:tr>
      <w:tr w:rsidR="00000000">
        <w:trPr>
          <w:trHeight w:val="255"/>
        </w:trPr>
        <w:tc>
          <w:tcPr>
            <w:tcW w:w="2410"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Barret Positivo</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75</w:t>
            </w:r>
          </w:p>
        </w:tc>
        <w:tc>
          <w:tcPr>
            <w:tcW w:w="926"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410"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Barret Ne</w:t>
            </w:r>
            <w:r>
              <w:rPr>
                <w:rFonts w:ascii="Arial" w:hAnsi="Arial" w:cs="Arial"/>
                <w:i/>
                <w:iCs/>
              </w:rPr>
              <w:t>gativo</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0,862</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99,137</w:t>
            </w:r>
          </w:p>
        </w:tc>
        <w:tc>
          <w:tcPr>
            <w:tcW w:w="926"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2410"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1,666</w:t>
            </w:r>
          </w:p>
        </w:tc>
        <w:tc>
          <w:tcPr>
            <w:tcW w:w="1620"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98,333</w:t>
            </w:r>
          </w:p>
        </w:tc>
        <w:tc>
          <w:tcPr>
            <w:tcW w:w="926"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i/>
          <w:iCs/>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000000" w:rsidRDefault="00BC67ED">
      <w:pPr>
        <w:tabs>
          <w:tab w:val="left" w:pos="2925"/>
          <w:tab w:val="left" w:pos="5073"/>
          <w:tab w:val="left" w:pos="7229"/>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pPr w:leftFromText="141" w:rightFromText="141" w:vertAnchor="page" w:horzAnchor="margin" w:tblpXSpec="right" w:tblpY="8029"/>
        <w:tblW w:w="6565" w:type="dxa"/>
        <w:tblCellMar>
          <w:left w:w="70" w:type="dxa"/>
          <w:right w:w="70" w:type="dxa"/>
        </w:tblCellMar>
        <w:tblLook w:val="0000"/>
      </w:tblPr>
      <w:tblGrid>
        <w:gridCol w:w="2341"/>
        <w:gridCol w:w="1608"/>
        <w:gridCol w:w="1608"/>
        <w:gridCol w:w="1008"/>
      </w:tblGrid>
      <w:tr w:rsidR="00000000">
        <w:trPr>
          <w:trHeight w:val="360"/>
        </w:trPr>
        <w:tc>
          <w:tcPr>
            <w:tcW w:w="394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1608" w:type="dxa"/>
            <w:tcBorders>
              <w:top w:val="nil"/>
              <w:left w:val="nil"/>
              <w:bottom w:val="single" w:sz="4" w:space="0" w:color="auto"/>
              <w:right w:val="nil"/>
            </w:tcBorders>
            <w:noWrap/>
            <w:vAlign w:val="bottom"/>
          </w:tcPr>
          <w:p w:rsidR="00000000" w:rsidRDefault="00BC67ED">
            <w:pPr>
              <w:rPr>
                <w:rFonts w:ascii="Arial" w:hAnsi="Arial" w:cs="Arial"/>
              </w:rPr>
            </w:pPr>
          </w:p>
        </w:tc>
        <w:tc>
          <w:tcPr>
            <w:tcW w:w="1008"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234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Esofago de Barret</w:t>
            </w:r>
          </w:p>
        </w:tc>
        <w:tc>
          <w:tcPr>
            <w:tcW w:w="160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Positivo</w:t>
            </w:r>
          </w:p>
        </w:tc>
        <w:tc>
          <w:tcPr>
            <w:tcW w:w="160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C. Epiderm.</w:t>
            </w:r>
          </w:p>
          <w:p w:rsidR="00000000" w:rsidRDefault="00BC67ED">
            <w:pPr>
              <w:jc w:val="center"/>
              <w:rPr>
                <w:rFonts w:ascii="Arial" w:hAnsi="Arial" w:cs="Arial"/>
                <w:b/>
                <w:bCs/>
              </w:rPr>
            </w:pPr>
            <w:r>
              <w:rPr>
                <w:rFonts w:ascii="Arial" w:hAnsi="Arial" w:cs="Arial"/>
                <w:b/>
                <w:bCs/>
              </w:rPr>
              <w:t>Negativo</w:t>
            </w:r>
          </w:p>
        </w:tc>
        <w:tc>
          <w:tcPr>
            <w:tcW w:w="100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Total</w:t>
            </w:r>
          </w:p>
        </w:tc>
      </w:tr>
      <w:tr w:rsidR="00000000">
        <w:trPr>
          <w:trHeight w:val="255"/>
        </w:trPr>
        <w:tc>
          <w:tcPr>
            <w:tcW w:w="234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Barret Positivo</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50</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2,542</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3,333</w:t>
            </w:r>
          </w:p>
        </w:tc>
      </w:tr>
      <w:tr w:rsidR="00000000">
        <w:trPr>
          <w:trHeight w:val="255"/>
        </w:trPr>
        <w:tc>
          <w:tcPr>
            <w:tcW w:w="234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Barret Negativo</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50</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97,457</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96,667</w:t>
            </w:r>
          </w:p>
        </w:tc>
      </w:tr>
      <w:tr w:rsidR="00000000">
        <w:trPr>
          <w:trHeight w:val="255"/>
        </w:trPr>
        <w:tc>
          <w:tcPr>
            <w:tcW w:w="234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6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spacing w:line="480" w:lineRule="auto"/>
        <w:ind w:left="684"/>
        <w:jc w:val="both"/>
      </w:pPr>
    </w:p>
    <w:p w:rsidR="00000000" w:rsidRDefault="00BC67ED">
      <w:pPr>
        <w:spacing w:line="480" w:lineRule="auto"/>
        <w:ind w:left="684"/>
        <w:jc w:val="both"/>
      </w:pPr>
    </w:p>
    <w:p w:rsidR="00000000" w:rsidRDefault="00BC67ED">
      <w:pPr>
        <w:spacing w:line="480" w:lineRule="auto"/>
        <w:ind w:left="684"/>
        <w:jc w:val="both"/>
      </w:pPr>
    </w:p>
    <w:p w:rsidR="00000000" w:rsidRDefault="00BC67ED">
      <w:pPr>
        <w:spacing w:line="480" w:lineRule="auto"/>
        <w:ind w:left="684"/>
        <w:jc w:val="both"/>
      </w:pPr>
    </w:p>
    <w:p w:rsidR="00000000" w:rsidRDefault="00BC67ED">
      <w:pPr>
        <w:spacing w:line="480" w:lineRule="auto"/>
        <w:ind w:left="684"/>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480" w:lineRule="auto"/>
        <w:ind w:left="1416"/>
        <w:jc w:val="both"/>
      </w:pPr>
    </w:p>
    <w:p w:rsidR="00000000" w:rsidRDefault="00BC67ED">
      <w:pPr>
        <w:spacing w:line="360" w:lineRule="auto"/>
        <w:ind w:firstLine="708"/>
        <w:jc w:val="center"/>
        <w:rPr>
          <w:rFonts w:ascii="Arial" w:hAnsi="Arial" w:cs="Arial"/>
          <w:b/>
        </w:rPr>
      </w:pPr>
      <w:r>
        <w:rPr>
          <w:rFonts w:ascii="Arial" w:hAnsi="Arial" w:cs="Arial"/>
          <w:b/>
        </w:rPr>
        <w:lastRenderedPageBreak/>
        <w:t>FIGURA 4-7</w:t>
      </w:r>
    </w:p>
    <w:p w:rsidR="00000000" w:rsidRDefault="00BC67ED">
      <w:pPr>
        <w:ind w:firstLine="708"/>
        <w:jc w:val="center"/>
        <w:rPr>
          <w:rFonts w:ascii="Arial" w:hAnsi="Arial" w:cs="Arial"/>
          <w:b/>
          <w:caps/>
        </w:rPr>
      </w:pPr>
      <w:r>
        <w:rPr>
          <w:rFonts w:ascii="Arial" w:hAnsi="Arial" w:cs="Arial"/>
          <w:b/>
          <w:caps/>
        </w:rPr>
        <w:t>Gráfico de Correspondencias</w:t>
      </w:r>
    </w:p>
    <w:p w:rsidR="00000000" w:rsidRDefault="00BC67ED">
      <w:pPr>
        <w:ind w:firstLine="708"/>
        <w:jc w:val="center"/>
        <w:rPr>
          <w:rFonts w:ascii="Arial" w:hAnsi="Arial" w:cs="Arial"/>
          <w:b/>
          <w:caps/>
        </w:rPr>
      </w:pPr>
      <w:r>
        <w:rPr>
          <w:rFonts w:ascii="Arial" w:hAnsi="Arial" w:cs="Arial"/>
          <w:b/>
          <w:caps/>
        </w:rPr>
        <w:t>Esófago de Barret vs. Cáncer Epidermoide</w:t>
      </w:r>
    </w:p>
    <w:p w:rsidR="00000000" w:rsidRDefault="00BC67ED">
      <w:pPr>
        <w:ind w:firstLine="708"/>
        <w:jc w:val="center"/>
        <w:rPr>
          <w:rFonts w:ascii="Arial" w:hAnsi="Arial" w:cs="Arial"/>
          <w:b/>
        </w:rPr>
      </w:pPr>
      <w:r>
        <w:rPr>
          <w:rFonts w:ascii="Arial" w:hAnsi="Arial" w:cs="Arial"/>
          <w:b/>
        </w:rPr>
        <w:t>(Cáncer de Esófago)</w:t>
      </w:r>
    </w:p>
    <w:p w:rsidR="00000000" w:rsidRDefault="00BC67ED">
      <w:pPr>
        <w:tabs>
          <w:tab w:val="left" w:pos="3901"/>
        </w:tabs>
        <w:spacing w:line="480" w:lineRule="auto"/>
        <w:ind w:left="1416"/>
        <w:jc w:val="both"/>
      </w:pPr>
    </w:p>
    <w:p w:rsidR="00000000" w:rsidRDefault="00BC67ED">
      <w:pPr>
        <w:tabs>
          <w:tab w:val="left" w:pos="2520"/>
        </w:tabs>
        <w:autoSpaceDE w:val="0"/>
        <w:autoSpaceDN w:val="0"/>
        <w:adjustRightInd w:val="0"/>
        <w:ind w:left="720" w:right="-720"/>
        <w:rPr>
          <w:rFonts w:ascii="Arial" w:hAnsi="Arial" w:cs="Arial"/>
        </w:rPr>
      </w:pPr>
      <w:r>
        <w:rPr>
          <w:noProof/>
        </w:rPr>
      </w:r>
      <w:r>
        <w:rPr>
          <w:rFonts w:ascii="Arial" w:hAnsi="Arial" w:cs="Arial"/>
        </w:rPr>
        <w:pict>
          <v:group id="_x0000_s1125" editas="canvas" style="width:414.75pt;height:349.15pt;mso-position-horizontal-relative:char;mso-position-vertical-relative:line" coordsize="8295,6983">
            <o:lock v:ext="edit" aspectratio="t"/>
            <v:shape id="_x0000_s1126" type="#_x0000_t75" style="position:absolute;width:8295;height:6983" o:preferrelative="f">
              <v:fill o:detectmouseclick="t"/>
              <v:path o:extrusionok="t" o:connecttype="none"/>
              <o:lock v:ext="edit" text="t"/>
            </v:shape>
            <v:line id="_x0000_s1127" style="position:absolute" from="1402,5796" to="1485,5797" strokecolor="navy" strokeweight=".7pt"/>
            <v:line id="_x0000_s1128" style="position:absolute" from="1402,5553" to="1485,5554" strokecolor="navy" strokeweight=".7pt"/>
            <v:line id="_x0000_s1129" style="position:absolute" from="1402,5311" to="1485,5312" strokecolor="navy" strokeweight=".7pt"/>
            <v:line id="_x0000_s1130" style="position:absolute" from="1402,5068" to="1485,5069" strokecolor="navy" strokeweight=".7pt"/>
            <v:line id="_x0000_s1131" style="position:absolute" from="1402,4826" to="1485,4827" strokecolor="navy" strokeweight=".7pt"/>
            <v:line id="_x0000_s1132" style="position:absolute" from="1402,4583" to="1485,4584" strokecolor="navy" strokeweight=".7pt"/>
            <v:line id="_x0000_s1133" style="position:absolute" from="1402,4340" to="1485,4341" strokecolor="navy" strokeweight=".7pt"/>
            <v:line id="_x0000_s1134" style="position:absolute" from="1402,4098" to="1485,4099" strokecolor="navy" strokeweight=".7pt"/>
            <v:line id="_x0000_s1135" style="position:absolute" from="1402,3855" to="1485,3856" strokecolor="navy" strokeweight=".7pt"/>
            <v:line id="_x0000_s1136" style="position:absolute" from="1402,3613" to="1485,3614" strokecolor="navy" strokeweight=".7pt"/>
            <v:line id="_x0000_s1137" style="position:absolute" from="1402,3370" to="1485,3371" strokecolor="navy" strokeweight=".7pt"/>
            <v:line id="_x0000_s1138" style="position:absolute" from="1402,3127" to="1485,3128" strokecolor="navy" strokeweight=".7pt"/>
            <v:line id="_x0000_s1139" style="position:absolute" from="1402,2885" to="1485,2886" strokecolor="navy" strokeweight=".7pt"/>
            <v:line id="_x0000_s1140" style="position:absolute" from="1402,2642" to="1485,2643" strokecolor="navy" strokeweight=".7pt"/>
            <v:line id="_x0000_s1141" style="position:absolute" from="1402,2400" to="1485,2401" strokecolor="navy" strokeweight=".7pt"/>
            <v:line id="_x0000_s1142" style="position:absolute" from="1402,2157" to="1485,2158" strokecolor="navy" strokeweight=".7pt"/>
            <v:line id="_x0000_s1143" style="position:absolute" from="1402,1915" to="1485,1916" strokecolor="navy" strokeweight=".7pt"/>
            <v:line id="_x0000_s1144" style="position:absolute" from="1402,1672" to="1485,1673" strokecolor="navy" strokeweight=".7pt"/>
            <v:line id="_x0000_s1145" style="position:absolute" from="1402,1429" to="1485,1430" strokecolor="navy" strokeweight=".7pt"/>
            <v:line id="_x0000_s1146" style="position:absolute" from="1402,1187" to="1485,1188" strokecolor="navy" strokeweight=".7pt"/>
            <v:line id="_x0000_s1147" style="position:absolute" from="1402,942" to="1485,943" strokecolor="navy" strokeweight=".7pt"/>
            <v:line id="_x0000_s1148" style="position:absolute" from="1485,942" to="1486,5796" strokecolor="navy" strokeweight=".7pt"/>
            <v:rect id="_x0000_s1149" style="position:absolute;left:596;top:5639;width:639;height:644" filled="f" stroked="f">
              <v:textbox style="mso-next-textbox:#_x0000_s1149" inset="0,0,0,0">
                <w:txbxContent>
                  <w:p w:rsidR="00000000" w:rsidRDefault="00BC67ED">
                    <w:r>
                      <w:rPr>
                        <w:rFonts w:ascii="Arial" w:hAnsi="Arial" w:cs="Arial"/>
                        <w:color w:val="000000"/>
                        <w:sz w:val="28"/>
                        <w:szCs w:val="28"/>
                        <w:lang w:val="en-US"/>
                      </w:rPr>
                      <w:t>-0,50</w:t>
                    </w:r>
                  </w:p>
                </w:txbxContent>
              </v:textbox>
            </v:rect>
            <v:rect id="_x0000_s1150" style="position:absolute;left:693;top:4425;width:545;height:644" filled="f" stroked="f">
              <v:textbox style="mso-next-textbox:#_x0000_s1150" inset="0,0,0,0">
                <w:txbxContent>
                  <w:p w:rsidR="00000000" w:rsidRDefault="00BC67ED">
                    <w:r>
                      <w:rPr>
                        <w:rFonts w:ascii="Arial" w:hAnsi="Arial" w:cs="Arial"/>
                        <w:color w:val="000000"/>
                        <w:sz w:val="28"/>
                        <w:szCs w:val="28"/>
                        <w:lang w:val="en-US"/>
                      </w:rPr>
                      <w:t>0,38</w:t>
                    </w:r>
                  </w:p>
                </w:txbxContent>
              </v:textbox>
            </v:rect>
            <v:rect id="_x0000_s1151" style="position:absolute;left:693;top:3211;width:545;height:644" filled="f" stroked="f">
              <v:textbox style="mso-next-textbox:#_x0000_s1151" inset="0,0,0,0">
                <w:txbxContent>
                  <w:p w:rsidR="00000000" w:rsidRDefault="00BC67ED">
                    <w:r>
                      <w:rPr>
                        <w:rFonts w:ascii="Arial" w:hAnsi="Arial" w:cs="Arial"/>
                        <w:color w:val="000000"/>
                        <w:sz w:val="28"/>
                        <w:szCs w:val="28"/>
                        <w:lang w:val="en-US"/>
                      </w:rPr>
                      <w:t>1,25</w:t>
                    </w:r>
                  </w:p>
                </w:txbxContent>
              </v:textbox>
            </v:rect>
            <v:rect id="_x0000_s1152" style="position:absolute;left:693;top:1998;width:545;height:644" filled="f" stroked="f">
              <v:textbox style="mso-next-textbox:#_x0000_s1152" inset="0,0,0,0">
                <w:txbxContent>
                  <w:p w:rsidR="00000000" w:rsidRDefault="00BC67ED">
                    <w:r>
                      <w:rPr>
                        <w:rFonts w:ascii="Arial" w:hAnsi="Arial" w:cs="Arial"/>
                        <w:color w:val="000000"/>
                        <w:sz w:val="28"/>
                        <w:szCs w:val="28"/>
                        <w:lang w:val="en-US"/>
                      </w:rPr>
                      <w:t>2,13</w:t>
                    </w:r>
                  </w:p>
                </w:txbxContent>
              </v:textbox>
            </v:rect>
            <v:rect id="_x0000_s1153" style="position:absolute;left:693;top:784;width:545;height:644" filled="f" stroked="f">
              <v:textbox style="mso-next-textbox:#_x0000_s1153" inset="0,0,0,0">
                <w:txbxContent>
                  <w:p w:rsidR="00000000" w:rsidRDefault="00BC67ED">
                    <w:r>
                      <w:rPr>
                        <w:rFonts w:ascii="Arial" w:hAnsi="Arial" w:cs="Arial"/>
                        <w:color w:val="000000"/>
                        <w:sz w:val="28"/>
                        <w:szCs w:val="28"/>
                        <w:lang w:val="en-US"/>
                      </w:rPr>
                      <w:t>3,00</w:t>
                    </w:r>
                  </w:p>
                </w:txbxContent>
              </v:textbox>
            </v:rect>
            <v:line id="_x0000_s1154" style="position:absolute" from="1485,5796" to="1486,5877" strokecolor="navy" strokeweight=".7pt"/>
            <v:line id="_x0000_s1155" style="position:absolute" from="1686,5796" to="1687,5877" strokecolor="navy" strokeweight=".7pt"/>
            <v:line id="_x0000_s1156" style="position:absolute" from="1887,5796" to="1888,5877" strokecolor="navy" strokeweight=".7pt"/>
            <v:line id="_x0000_s1157" style="position:absolute" from="2088,5796" to="2089,5877" strokecolor="navy" strokeweight=".7pt"/>
            <v:line id="_x0000_s1158" style="position:absolute" from="2289,5796" to="2290,5877" strokecolor="navy" strokeweight=".7pt"/>
            <v:line id="_x0000_s1159" style="position:absolute" from="2491,5796" to="2492,5877" strokecolor="navy" strokeweight=".7pt"/>
            <v:line id="_x0000_s1160" style="position:absolute" from="2692,5796" to="2693,5877" strokecolor="navy" strokeweight=".7pt"/>
            <v:line id="_x0000_s1161" style="position:absolute" from="2893,5796" to="2894,5877" strokecolor="navy" strokeweight=".7pt"/>
            <v:line id="_x0000_s1162" style="position:absolute" from="3094,5796" to="3095,5877" strokecolor="navy" strokeweight=".7pt"/>
            <v:line id="_x0000_s1163" style="position:absolute" from="3295,5796" to="3296,5877" strokecolor="navy" strokeweight=".7pt"/>
            <v:line id="_x0000_s1164" style="position:absolute" from="3496,5796" to="3497,5877" strokecolor="navy" strokeweight=".7pt"/>
            <v:line id="_x0000_s1165" style="position:absolute" from="3697,5796" to="3698,5877" strokecolor="navy" strokeweight=".7pt"/>
            <v:line id="_x0000_s1166" style="position:absolute" from="3899,5796" to="3900,5877" strokecolor="navy" strokeweight=".7pt"/>
            <v:line id="_x0000_s1167" style="position:absolute" from="4100,5796" to="4101,5877" strokecolor="navy" strokeweight=".7pt"/>
            <v:line id="_x0000_s1168" style="position:absolute" from="4301,5796" to="4302,5877" strokecolor="navy" strokeweight=".7pt"/>
            <v:line id="_x0000_s1169" style="position:absolute" from="4502,5796" to="4503,5877" strokecolor="navy" strokeweight=".7pt"/>
            <v:line id="_x0000_s1170" style="position:absolute" from="4703,5796" to="4704,5877" strokecolor="navy" strokeweight=".7pt"/>
            <v:line id="_x0000_s1171" style="position:absolute" from="4904,5796" to="4905,5877" strokecolor="navy" strokeweight=".7pt"/>
            <v:line id="_x0000_s1172" style="position:absolute" from="5106,5796" to="5107,5877" strokecolor="navy" strokeweight=".7pt"/>
            <v:line id="_x0000_s1173" style="position:absolute" from="5307,5796" to="5308,5877" strokecolor="navy" strokeweight=".7pt"/>
            <v:line id="_x0000_s1174" style="position:absolute" from="5508,5796" to="5509,5877" strokecolor="navy" strokeweight=".7pt"/>
            <v:line id="_x0000_s1175" style="position:absolute;flip:x" from="1485,5796" to="5508,5797" strokecolor="navy" strokeweight=".7pt"/>
            <v:rect id="_x0000_s1176" style="position:absolute;left:1093;top:5897;width:639;height:644" filled="f" stroked="f">
              <v:textbox style="mso-next-textbox:#_x0000_s1176" inset="0,0,0,0">
                <w:txbxContent>
                  <w:p w:rsidR="00000000" w:rsidRDefault="00BC67ED">
                    <w:r>
                      <w:rPr>
                        <w:rFonts w:ascii="Arial" w:hAnsi="Arial" w:cs="Arial"/>
                        <w:color w:val="000000"/>
                        <w:sz w:val="28"/>
                        <w:szCs w:val="28"/>
                        <w:lang w:val="en-US"/>
                      </w:rPr>
                      <w:t>-0,50</w:t>
                    </w:r>
                  </w:p>
                </w:txbxContent>
              </v:textbox>
            </v:rect>
            <v:rect id="_x0000_s1177" style="position:absolute;left:2099;top:5897;width:639;height:644" filled="f" stroked="f">
              <v:textbox style="mso-next-textbox:#_x0000_s1177" inset="0,0,0,0">
                <w:txbxContent>
                  <w:p w:rsidR="00000000" w:rsidRDefault="00BC67ED">
                    <w:r>
                      <w:rPr>
                        <w:rFonts w:ascii="Arial" w:hAnsi="Arial" w:cs="Arial"/>
                        <w:color w:val="000000"/>
                        <w:sz w:val="28"/>
                        <w:szCs w:val="28"/>
                        <w:lang w:val="en-US"/>
                      </w:rPr>
                      <w:t>-0,25</w:t>
                    </w:r>
                  </w:p>
                </w:txbxContent>
              </v:textbox>
            </v:rect>
            <v:rect id="_x0000_s1178" style="position:absolute;left:3152;top:5897;width:545;height:644" filled="f" stroked="f">
              <v:textbox style="mso-next-textbox:#_x0000_s1178" inset="0,0,0,0">
                <w:txbxContent>
                  <w:p w:rsidR="00000000" w:rsidRDefault="00BC67ED">
                    <w:r>
                      <w:rPr>
                        <w:rFonts w:ascii="Arial" w:hAnsi="Arial" w:cs="Arial"/>
                        <w:color w:val="000000"/>
                        <w:sz w:val="28"/>
                        <w:szCs w:val="28"/>
                        <w:lang w:val="en-US"/>
                      </w:rPr>
                      <w:t>0,00</w:t>
                    </w:r>
                  </w:p>
                </w:txbxContent>
              </v:textbox>
            </v:rect>
            <v:rect id="_x0000_s1179" style="position:absolute;left:4158;top:5897;width:545;height:644" filled="f" stroked="f">
              <v:textbox style="mso-next-textbox:#_x0000_s1179" inset="0,0,0,0">
                <w:txbxContent>
                  <w:p w:rsidR="00000000" w:rsidRDefault="00BC67ED">
                    <w:r>
                      <w:rPr>
                        <w:rFonts w:ascii="Arial" w:hAnsi="Arial" w:cs="Arial"/>
                        <w:color w:val="000000"/>
                        <w:sz w:val="28"/>
                        <w:szCs w:val="28"/>
                        <w:lang w:val="en-US"/>
                      </w:rPr>
                      <w:t>0,25</w:t>
                    </w:r>
                  </w:p>
                </w:txbxContent>
              </v:textbox>
            </v:rect>
            <v:rect id="_x0000_s1180" style="position:absolute;left:5164;top:5897;width:545;height:644" filled="f" stroked="f">
              <v:textbox style="mso-next-textbox:#_x0000_s1180" inset="0,0,0,0">
                <w:txbxContent>
                  <w:p w:rsidR="00000000" w:rsidRDefault="00BC67ED">
                    <w:r>
                      <w:rPr>
                        <w:rFonts w:ascii="Arial" w:hAnsi="Arial" w:cs="Arial"/>
                        <w:color w:val="000000"/>
                        <w:sz w:val="28"/>
                        <w:szCs w:val="28"/>
                        <w:lang w:val="en-US"/>
                      </w:rPr>
                      <w:t>0,50</w:t>
                    </w:r>
                  </w:p>
                </w:txbxContent>
              </v:textbox>
            </v:rect>
            <v:oval id="_x0000_s1181" style="position:absolute;left:3147;top:5096;width:193;height:188" fillcolor="yellow" strokecolor="navy" strokeweight=".7pt"/>
            <v:rect id="_x0000_s1182" style="position:absolute;left:3382;top:5077;width:1412;height:506" filled="f" stroked="f">
              <v:textbox style="mso-next-textbox:#_x0000_s1182" inset="0,0,0,0">
                <w:txbxContent>
                  <w:p w:rsidR="00000000" w:rsidRDefault="00BC67ED">
                    <w:r>
                      <w:rPr>
                        <w:color w:val="000000"/>
                        <w:sz w:val="22"/>
                        <w:szCs w:val="22"/>
                        <w:lang w:val="en-US"/>
                      </w:rPr>
                      <w:t>Barret Negativo</w:t>
                    </w:r>
                  </w:p>
                </w:txbxContent>
              </v:textbox>
            </v:rect>
            <v:shape id="_x0000_s1183" style="position:absolute;left:3236;top:5070;width:167;height:141" coordsize="335,282" path="m168,l335,282,,282,168,xe" fillcolor="red" strokecolor="navy" strokeweight=".7pt">
              <v:path arrowok="t"/>
            </v:shape>
            <v:rect id="_x0000_s1184" style="position:absolute;left:3458;top:5051;width:2420;height:506" filled="f" stroked="f">
              <v:textbox style="mso-next-textbox:#_x0000_s1184" inset="0,0,0,0">
                <w:txbxContent>
                  <w:p w:rsidR="00000000" w:rsidRDefault="00BC67ED">
                    <w:r>
                      <w:rPr>
                        <w:color w:val="000000"/>
                        <w:sz w:val="22"/>
                        <w:szCs w:val="22"/>
                        <w:lang w:val="en-US"/>
                      </w:rPr>
                      <w:t>C__</w:t>
                    </w:r>
                    <w:r>
                      <w:rPr>
                        <w:color w:val="000000"/>
                        <w:sz w:val="22"/>
                        <w:szCs w:val="22"/>
                        <w:lang w:val="en-US"/>
                      </w:rPr>
                      <w:t>Epidermoide_Negativo</w:t>
                    </w:r>
                  </w:p>
                </w:txbxContent>
              </v:textbox>
            </v:rect>
            <v:rect id="_x0000_s1185" style="position:absolute;left:1674;top:134;width:3383;height:828" filled="f" stroked="f">
              <v:textbox style="mso-next-textbox:#_x0000_s1185" inset="0,0,0,0">
                <w:txbxContent>
                  <w:p w:rsidR="00000000" w:rsidRDefault="00BC67ED">
                    <w:r>
                      <w:rPr>
                        <w:rFonts w:ascii="Arial" w:hAnsi="Arial" w:cs="Arial"/>
                        <w:color w:val="000000"/>
                        <w:sz w:val="36"/>
                        <w:szCs w:val="36"/>
                        <w:lang w:val="en-US"/>
                      </w:rPr>
                      <w:t>Correspondence Plot</w:t>
                    </w:r>
                  </w:p>
                </w:txbxContent>
              </v:textbox>
            </v:rect>
            <v:rect id="_x0000_s1186" style="position:absolute;left:2214;top:6247;width:2206;height:736" filled="f" stroked="f">
              <v:textbox style="mso-next-textbox:#_x0000_s1186" inset="0,0,0,0">
                <w:txbxContent>
                  <w:p w:rsidR="00000000" w:rsidRDefault="00BC67ED">
                    <w:r>
                      <w:rPr>
                        <w:rFonts w:ascii="Arial" w:hAnsi="Arial" w:cs="Arial"/>
                        <w:color w:val="000000"/>
                        <w:sz w:val="32"/>
                        <w:szCs w:val="32"/>
                        <w:lang w:val="en-US"/>
                      </w:rPr>
                      <w:t>Factor1 (100%)</w:t>
                    </w:r>
                  </w:p>
                </w:txbxContent>
              </v:textbox>
            </v:rect>
            <v:rect id="_x0000_s1187" style="position:absolute;left:-908;top:3248;width:2355;height:540;rotation:270" filled="f" stroked="f">
              <v:textbox style="layout-flow:vertical;mso-layout-flow-alt:bottom-to-top;mso-next-textbox:#_x0000_s1187" inset="0,0,0,0">
                <w:txbxContent>
                  <w:p w:rsidR="00000000" w:rsidRDefault="00BC67ED">
                    <w:r>
                      <w:rPr>
                        <w:rFonts w:ascii="Arial" w:hAnsi="Arial" w:cs="Arial"/>
                        <w:color w:val="000000"/>
                        <w:sz w:val="32"/>
                        <w:szCs w:val="32"/>
                        <w:lang w:val="en-US"/>
                      </w:rPr>
                      <w:t>Factor1 (100%)</w:t>
                    </w:r>
                  </w:p>
                </w:txbxContent>
              </v:textbox>
            </v:rect>
            <v:rect id="_x0000_s1188" style="position:absolute;left:5790;top:1002;width:1002;height:690" filled="f" stroked="f">
              <v:textbox style="mso-next-textbox:#_x0000_s1188" inset="0,0,0,0">
                <w:txbxContent>
                  <w:p w:rsidR="00000000" w:rsidRDefault="00BC67ED">
                    <w:r>
                      <w:rPr>
                        <w:rFonts w:ascii="Arial" w:hAnsi="Arial" w:cs="Arial"/>
                        <w:color w:val="000000"/>
                        <w:sz w:val="30"/>
                        <w:szCs w:val="30"/>
                        <w:lang w:val="en-US"/>
                      </w:rPr>
                      <w:t>Legend</w:t>
                    </w:r>
                  </w:p>
                </w:txbxContent>
              </v:textbox>
            </v:rect>
            <v:oval id="_x0000_s1189" style="position:absolute;left:5790;top:1460;width:213;height:207" fillcolor="yellow" strokecolor="navy" strokeweight=".7pt"/>
            <v:rect id="_x0000_s1190" style="position:absolute;left:6279;top:1405;width:751;height:690" filled="f" stroked="f">
              <v:textbox style="mso-next-textbox:#_x0000_s1190" inset="0,0,0,0">
                <w:txbxContent>
                  <w:p w:rsidR="00000000" w:rsidRDefault="00BC67ED">
                    <w:r>
                      <w:rPr>
                        <w:rFonts w:ascii="Arial" w:hAnsi="Arial" w:cs="Arial"/>
                        <w:color w:val="000000"/>
                        <w:sz w:val="30"/>
                        <w:szCs w:val="30"/>
                        <w:lang w:val="en-US"/>
                      </w:rPr>
                      <w:t>Rows</w:t>
                    </w:r>
                  </w:p>
                </w:txbxContent>
              </v:textbox>
            </v:rect>
            <v:shape id="_x0000_s1191" style="position:absolute;left:5760;top:1800;width:184;height:155" coordsize="368,311" path="m184,l368,311,,311,184,xe" fillcolor="red" strokecolor="navy" strokeweight=".7pt">
              <v:path arrowok="t"/>
            </v:shape>
            <v:rect id="_x0000_s1192" style="position:absolute;left:6279;top:1716;width:1184;height:690" filled="f" stroked="f">
              <v:textbox style="mso-next-textbox:#_x0000_s1192" inset="0,0,0,0">
                <w:txbxContent>
                  <w:p w:rsidR="00000000" w:rsidRDefault="00BC67ED">
                    <w:r>
                      <w:rPr>
                        <w:rFonts w:ascii="Arial" w:hAnsi="Arial" w:cs="Arial"/>
                        <w:color w:val="000000"/>
                        <w:sz w:val="30"/>
                        <w:szCs w:val="30"/>
                        <w:lang w:val="en-US"/>
                      </w:rPr>
                      <w:t>Columns</w:t>
                    </w:r>
                  </w:p>
                </w:txbxContent>
              </v:textbox>
            </v:rect>
            <v:oval id="_x0000_s1193" style="position:absolute;left:2029;top:2385;width:193;height:188" fillcolor="yellow" strokecolor="navy" strokeweight=".7pt"/>
            <v:rect id="_x0000_s1194" style="position:absolute;left:2264;top:2366;width:1327;height:506" filled="f" stroked="f">
              <v:textbox style="mso-next-textbox:#_x0000_s1194" inset="0,0,0,0">
                <w:txbxContent>
                  <w:p w:rsidR="00000000" w:rsidRDefault="00BC67ED">
                    <w:r>
                      <w:rPr>
                        <w:color w:val="000000"/>
                        <w:sz w:val="22"/>
                        <w:szCs w:val="22"/>
                        <w:lang w:val="en-US"/>
                      </w:rPr>
                      <w:t>Barret Positivo</w:t>
                    </w:r>
                  </w:p>
                </w:txbxContent>
              </v:textbox>
            </v:rect>
            <v:shape id="_x0000_s1195" style="position:absolute;left:2118;top:2359;width:167;height:141;mso-position-horizontal:absolute;mso-position-vertical:absolute" coordsize="335,282" path="m168,l335,282,,282,168,xe" fillcolor="red" strokecolor="navy" strokeweight=".7pt">
              <v:path arrowok="t"/>
            </v:shape>
            <v:rect id="_x0000_s1196" style="position:absolute;left:2160;top:2160;width:2335;height:506" filled="f" stroked="f">
              <v:textbox style="mso-next-textbox:#_x0000_s1196" inset="0,0,0,0">
                <w:txbxContent>
                  <w:p w:rsidR="00000000" w:rsidRDefault="00BC67ED">
                    <w:r>
                      <w:rPr>
                        <w:color w:val="000000"/>
                        <w:sz w:val="22"/>
                        <w:szCs w:val="22"/>
                        <w:lang w:val="en-US"/>
                      </w:rPr>
                      <w:t>C__Epidermoide_Positivo</w:t>
                    </w:r>
                  </w:p>
                </w:txbxContent>
              </v:textbox>
            </v:rect>
            <w10:anchorlock/>
          </v:group>
        </w:pict>
      </w:r>
    </w:p>
    <w:p w:rsidR="00000000" w:rsidRDefault="00BC67ED">
      <w:pPr>
        <w:tabs>
          <w:tab w:val="left" w:pos="2880"/>
          <w:tab w:val="left" w:pos="5040"/>
          <w:tab w:val="left" w:pos="7200"/>
        </w:tabs>
        <w:autoSpaceDE w:val="0"/>
        <w:autoSpaceDN w:val="0"/>
        <w:adjustRightInd w:val="0"/>
        <w:ind w:left="720" w:right="-720"/>
        <w:rPr>
          <w:rFonts w:ascii="Arial" w:hAnsi="Arial" w:cs="Arial"/>
          <w:color w:val="000000"/>
          <w:sz w:val="20"/>
          <w:szCs w:val="20"/>
        </w:rPr>
      </w:pPr>
    </w:p>
    <w:p w:rsidR="00000000" w:rsidRDefault="00BC67ED">
      <w:pPr>
        <w:pStyle w:val="Textoindependiente"/>
        <w:spacing w:line="480" w:lineRule="auto"/>
        <w:ind w:left="708"/>
        <w:rPr>
          <w:rFonts w:ascii="Arial" w:hAnsi="Arial"/>
        </w:rPr>
      </w:pPr>
      <w:r>
        <w:rPr>
          <w:rFonts w:ascii="Arial" w:hAnsi="Arial"/>
        </w:rPr>
        <w:t>En la figura 4-7 podemos observar la gran relación existente entre el esófago de barret y el cáncer epidermoide, es</w:t>
      </w:r>
      <w:r>
        <w:rPr>
          <w:rFonts w:ascii="Arial" w:hAnsi="Arial"/>
        </w:rPr>
        <w:t xml:space="preserve"> decir, según nuestro estudio podemos afirmar que la no existencia de esófago de barret conlleva a la no existencia de cáncer de esófago.</w:t>
      </w: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1440"/>
        <w:jc w:val="center"/>
        <w:rPr>
          <w:rFonts w:ascii="Arial" w:hAnsi="Arial" w:cs="Arial"/>
          <w:b/>
          <w:bCs/>
        </w:rPr>
      </w:pP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t>Tabla XL</w:t>
      </w: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lastRenderedPageBreak/>
        <w:t>Análisis de Correspondencia del</w:t>
      </w:r>
    </w:p>
    <w:p w:rsidR="00000000" w:rsidRDefault="00BC67ED">
      <w:pPr>
        <w:ind w:left="348"/>
        <w:jc w:val="center"/>
        <w:rPr>
          <w:rFonts w:ascii="Arial" w:hAnsi="Arial" w:cs="Arial"/>
          <w:b/>
        </w:rPr>
      </w:pPr>
      <w:r>
        <w:rPr>
          <w:rFonts w:ascii="Arial" w:hAnsi="Arial" w:cs="Arial"/>
          <w:b/>
        </w:rPr>
        <w:t xml:space="preserve">     Obesidad vs. Esófago de Barret</w:t>
      </w:r>
    </w:p>
    <w:p w:rsidR="00000000" w:rsidRDefault="00BC67ED">
      <w:pPr>
        <w:ind w:left="348"/>
        <w:jc w:val="center"/>
        <w:rPr>
          <w:rFonts w:ascii="Arial" w:hAnsi="Arial" w:cs="Arial"/>
          <w:b/>
        </w:rPr>
      </w:pPr>
    </w:p>
    <w:p w:rsidR="00000000" w:rsidRDefault="00BC67ED">
      <w:pPr>
        <w:ind w:left="1080"/>
        <w:jc w:val="center"/>
        <w:rPr>
          <w:rFonts w:ascii="Arial" w:hAnsi="Arial" w:cs="Arial"/>
          <w:b/>
        </w:rPr>
      </w:pPr>
    </w:p>
    <w:tbl>
      <w:tblPr>
        <w:tblW w:w="522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1"/>
        <w:gridCol w:w="1207"/>
        <w:gridCol w:w="1288"/>
        <w:gridCol w:w="914"/>
      </w:tblGrid>
      <w:tr w:rsidR="00000000">
        <w:trPr>
          <w:trHeight w:val="255"/>
        </w:trPr>
        <w:tc>
          <w:tcPr>
            <w:tcW w:w="1811" w:type="dxa"/>
            <w:noWrap/>
            <w:vAlign w:val="bottom"/>
          </w:tcPr>
          <w:p w:rsidR="00000000" w:rsidRDefault="00BC67ED">
            <w:pPr>
              <w:jc w:val="center"/>
              <w:rPr>
                <w:rFonts w:ascii="Arial" w:hAnsi="Arial" w:cs="Arial"/>
                <w:b/>
                <w:bCs/>
              </w:rPr>
            </w:pPr>
            <w:r>
              <w:rPr>
                <w:rFonts w:ascii="Arial" w:hAnsi="Arial" w:cs="Arial"/>
                <w:b/>
                <w:bCs/>
              </w:rPr>
              <w:t>Obesidad</w:t>
            </w:r>
          </w:p>
        </w:tc>
        <w:tc>
          <w:tcPr>
            <w:tcW w:w="1207" w:type="dxa"/>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Negat</w:t>
            </w:r>
            <w:r>
              <w:rPr>
                <w:rFonts w:ascii="Arial" w:hAnsi="Arial" w:cs="Arial"/>
                <w:b/>
                <w:bCs/>
              </w:rPr>
              <w:t>ivo</w:t>
            </w:r>
          </w:p>
        </w:tc>
        <w:tc>
          <w:tcPr>
            <w:tcW w:w="914"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811" w:type="dxa"/>
            <w:noWrap/>
            <w:vAlign w:val="bottom"/>
          </w:tcPr>
          <w:p w:rsidR="00000000" w:rsidRDefault="00BC67ED">
            <w:pPr>
              <w:rPr>
                <w:rFonts w:ascii="Arial" w:hAnsi="Arial" w:cs="Arial"/>
                <w:i/>
                <w:iCs/>
              </w:rPr>
            </w:pPr>
            <w:r>
              <w:rPr>
                <w:rFonts w:ascii="Arial" w:hAnsi="Arial" w:cs="Arial"/>
                <w:i/>
                <w:iCs/>
              </w:rPr>
              <w:t>Es Obeso</w:t>
            </w:r>
          </w:p>
        </w:tc>
        <w:tc>
          <w:tcPr>
            <w:tcW w:w="1207" w:type="dxa"/>
            <w:noWrap/>
            <w:vAlign w:val="bottom"/>
          </w:tcPr>
          <w:p w:rsidR="00000000" w:rsidRDefault="00BC67ED">
            <w:pPr>
              <w:jc w:val="right"/>
              <w:rPr>
                <w:rFonts w:ascii="Arial" w:hAnsi="Arial" w:cs="Arial"/>
              </w:rPr>
            </w:pPr>
            <w:r>
              <w:rPr>
                <w:rFonts w:ascii="Arial" w:hAnsi="Arial" w:cs="Arial"/>
              </w:rPr>
              <w:t>1</w:t>
            </w:r>
          </w:p>
        </w:tc>
        <w:tc>
          <w:tcPr>
            <w:tcW w:w="1288" w:type="dxa"/>
            <w:noWrap/>
            <w:vAlign w:val="bottom"/>
          </w:tcPr>
          <w:p w:rsidR="00000000" w:rsidRDefault="00BC67ED">
            <w:pPr>
              <w:jc w:val="right"/>
              <w:rPr>
                <w:rFonts w:ascii="Arial" w:hAnsi="Arial" w:cs="Arial"/>
              </w:rPr>
            </w:pPr>
            <w:r>
              <w:rPr>
                <w:rFonts w:ascii="Arial" w:hAnsi="Arial" w:cs="Arial"/>
              </w:rPr>
              <w:t>16</w:t>
            </w:r>
          </w:p>
        </w:tc>
        <w:tc>
          <w:tcPr>
            <w:tcW w:w="914" w:type="dxa"/>
            <w:noWrap/>
            <w:vAlign w:val="bottom"/>
          </w:tcPr>
          <w:p w:rsidR="00000000" w:rsidRDefault="00BC67ED">
            <w:pPr>
              <w:jc w:val="right"/>
              <w:rPr>
                <w:rFonts w:ascii="Arial" w:hAnsi="Arial" w:cs="Arial"/>
              </w:rPr>
            </w:pPr>
            <w:r>
              <w:rPr>
                <w:rFonts w:ascii="Arial" w:hAnsi="Arial" w:cs="Arial"/>
              </w:rPr>
              <w:t>17</w:t>
            </w:r>
          </w:p>
        </w:tc>
      </w:tr>
      <w:tr w:rsidR="00000000">
        <w:trPr>
          <w:trHeight w:val="255"/>
        </w:trPr>
        <w:tc>
          <w:tcPr>
            <w:tcW w:w="1811" w:type="dxa"/>
            <w:noWrap/>
            <w:vAlign w:val="bottom"/>
          </w:tcPr>
          <w:p w:rsidR="00000000" w:rsidRDefault="00BC67ED">
            <w:pPr>
              <w:rPr>
                <w:rFonts w:ascii="Arial" w:hAnsi="Arial" w:cs="Arial"/>
                <w:i/>
                <w:iCs/>
              </w:rPr>
            </w:pPr>
            <w:r>
              <w:rPr>
                <w:rFonts w:ascii="Arial" w:hAnsi="Arial" w:cs="Arial"/>
                <w:i/>
                <w:iCs/>
              </w:rPr>
              <w:t>No Es Obeso</w:t>
            </w:r>
          </w:p>
        </w:tc>
        <w:tc>
          <w:tcPr>
            <w:tcW w:w="1207" w:type="dxa"/>
            <w:noWrap/>
            <w:vAlign w:val="bottom"/>
          </w:tcPr>
          <w:p w:rsidR="00000000" w:rsidRDefault="00BC67ED">
            <w:pPr>
              <w:jc w:val="right"/>
              <w:rPr>
                <w:rFonts w:ascii="Arial" w:hAnsi="Arial" w:cs="Arial"/>
              </w:rPr>
            </w:pPr>
            <w:r>
              <w:rPr>
                <w:rFonts w:ascii="Arial" w:hAnsi="Arial" w:cs="Arial"/>
              </w:rPr>
              <w:t>3</w:t>
            </w:r>
          </w:p>
        </w:tc>
        <w:tc>
          <w:tcPr>
            <w:tcW w:w="1288" w:type="dxa"/>
            <w:noWrap/>
            <w:vAlign w:val="bottom"/>
          </w:tcPr>
          <w:p w:rsidR="00000000" w:rsidRDefault="00BC67ED">
            <w:pPr>
              <w:jc w:val="right"/>
              <w:rPr>
                <w:rFonts w:ascii="Arial" w:hAnsi="Arial" w:cs="Arial"/>
              </w:rPr>
            </w:pPr>
            <w:r>
              <w:rPr>
                <w:rFonts w:ascii="Arial" w:hAnsi="Arial" w:cs="Arial"/>
              </w:rPr>
              <w:t>100</w:t>
            </w:r>
          </w:p>
        </w:tc>
        <w:tc>
          <w:tcPr>
            <w:tcW w:w="914" w:type="dxa"/>
            <w:noWrap/>
            <w:vAlign w:val="bottom"/>
          </w:tcPr>
          <w:p w:rsidR="00000000" w:rsidRDefault="00BC67ED">
            <w:pPr>
              <w:jc w:val="right"/>
              <w:rPr>
                <w:rFonts w:ascii="Arial" w:hAnsi="Arial" w:cs="Arial"/>
              </w:rPr>
            </w:pPr>
            <w:r>
              <w:rPr>
                <w:rFonts w:ascii="Arial" w:hAnsi="Arial" w:cs="Arial"/>
              </w:rPr>
              <w:t>103</w:t>
            </w:r>
          </w:p>
        </w:tc>
      </w:tr>
      <w:tr w:rsidR="00000000">
        <w:trPr>
          <w:trHeight w:val="255"/>
        </w:trPr>
        <w:tc>
          <w:tcPr>
            <w:tcW w:w="1811"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noWrap/>
            <w:vAlign w:val="bottom"/>
          </w:tcPr>
          <w:p w:rsidR="00000000" w:rsidRDefault="00BC67ED">
            <w:pPr>
              <w:jc w:val="right"/>
              <w:rPr>
                <w:rFonts w:ascii="Arial" w:hAnsi="Arial" w:cs="Arial"/>
              </w:rPr>
            </w:pPr>
            <w:r>
              <w:rPr>
                <w:rFonts w:ascii="Arial" w:hAnsi="Arial" w:cs="Arial"/>
              </w:rPr>
              <w:t>4</w:t>
            </w:r>
          </w:p>
        </w:tc>
        <w:tc>
          <w:tcPr>
            <w:tcW w:w="1288" w:type="dxa"/>
            <w:noWrap/>
            <w:vAlign w:val="bottom"/>
          </w:tcPr>
          <w:p w:rsidR="00000000" w:rsidRDefault="00BC67ED">
            <w:pPr>
              <w:jc w:val="right"/>
              <w:rPr>
                <w:rFonts w:ascii="Arial" w:hAnsi="Arial" w:cs="Arial"/>
              </w:rPr>
            </w:pPr>
            <w:r>
              <w:rPr>
                <w:rFonts w:ascii="Arial" w:hAnsi="Arial" w:cs="Arial"/>
              </w:rPr>
              <w:t>116</w:t>
            </w:r>
          </w:p>
        </w:tc>
        <w:tc>
          <w:tcPr>
            <w:tcW w:w="914" w:type="dxa"/>
            <w:noWrap/>
            <w:vAlign w:val="bottom"/>
          </w:tcPr>
          <w:p w:rsidR="00000000" w:rsidRDefault="00BC67ED">
            <w:pPr>
              <w:jc w:val="right"/>
              <w:rPr>
                <w:rFonts w:ascii="Arial" w:hAnsi="Arial" w:cs="Arial"/>
              </w:rPr>
            </w:pPr>
            <w:r>
              <w:rPr>
                <w:rFonts w:ascii="Arial" w:hAnsi="Arial" w:cs="Arial"/>
              </w:rPr>
              <w:t>120</w:t>
            </w:r>
          </w:p>
        </w:tc>
      </w:tr>
    </w:tbl>
    <w:p w:rsidR="00000000" w:rsidRDefault="00BC67ED">
      <w:pPr>
        <w:ind w:left="86"/>
        <w:jc w:val="center"/>
        <w:rPr>
          <w:rFonts w:ascii="Arial" w:hAnsi="Arial" w:cs="Arial"/>
          <w:b/>
        </w:rPr>
      </w:pPr>
    </w:p>
    <w:tbl>
      <w:tblPr>
        <w:tblpPr w:leftFromText="141" w:rightFromText="141" w:vertAnchor="text" w:horzAnchor="page" w:tblpX="4179" w:tblpY="195"/>
        <w:tblW w:w="5110" w:type="dxa"/>
        <w:tblCellMar>
          <w:left w:w="70" w:type="dxa"/>
          <w:right w:w="70" w:type="dxa"/>
        </w:tblCellMar>
        <w:tblLook w:val="0000"/>
      </w:tblPr>
      <w:tblGrid>
        <w:gridCol w:w="1701"/>
        <w:gridCol w:w="1207"/>
        <w:gridCol w:w="1288"/>
        <w:gridCol w:w="914"/>
      </w:tblGrid>
      <w:tr w:rsidR="00000000">
        <w:trPr>
          <w:trHeight w:val="360"/>
        </w:trPr>
        <w:tc>
          <w:tcPr>
            <w:tcW w:w="2908"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1288" w:type="dxa"/>
            <w:tcBorders>
              <w:top w:val="nil"/>
              <w:left w:val="nil"/>
              <w:bottom w:val="single" w:sz="4" w:space="0" w:color="auto"/>
              <w:right w:val="nil"/>
            </w:tcBorders>
            <w:noWrap/>
            <w:vAlign w:val="bottom"/>
          </w:tcPr>
          <w:p w:rsidR="00000000" w:rsidRDefault="00BC67ED">
            <w:pPr>
              <w:rPr>
                <w:rFonts w:ascii="Arial" w:hAnsi="Arial" w:cs="Arial"/>
              </w:rPr>
            </w:pPr>
          </w:p>
        </w:tc>
        <w:tc>
          <w:tcPr>
            <w:tcW w:w="914"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Obesidad</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Negativo</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Es Obeso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5,882</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94,117</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 Es Obeso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2,912</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97,087</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3,333</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96,666</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ind w:left="86"/>
        <w:jc w:val="center"/>
        <w:rPr>
          <w:rFonts w:ascii="Arial" w:hAnsi="Arial" w:cs="Arial"/>
          <w:b/>
        </w:rPr>
      </w:pPr>
    </w:p>
    <w:p w:rsidR="00000000" w:rsidRDefault="00BC67ED">
      <w:pPr>
        <w:ind w:left="86"/>
        <w:jc w:val="center"/>
        <w:rPr>
          <w:rFonts w:ascii="Arial" w:hAnsi="Arial" w:cs="Arial"/>
          <w:b/>
        </w:rPr>
      </w:pPr>
    </w:p>
    <w:p w:rsidR="00000000" w:rsidRDefault="00BC67ED">
      <w:pPr>
        <w:ind w:left="86"/>
        <w:jc w:val="center"/>
        <w:rPr>
          <w:rFonts w:ascii="Arial" w:hAnsi="Arial" w:cs="Arial"/>
          <w:b/>
        </w:rPr>
      </w:pPr>
    </w:p>
    <w:p w:rsidR="00000000" w:rsidRDefault="00BC67ED">
      <w:pPr>
        <w:ind w:left="86"/>
        <w:jc w:val="center"/>
        <w:rPr>
          <w:rFonts w:ascii="Arial" w:hAnsi="Arial" w:cs="Arial"/>
          <w:b/>
        </w:rPr>
      </w:pPr>
    </w:p>
    <w:p w:rsidR="00000000" w:rsidRDefault="00BC67ED">
      <w:pPr>
        <w:ind w:left="86"/>
        <w:jc w:val="center"/>
        <w:rPr>
          <w:rFonts w:ascii="Arial" w:hAnsi="Arial" w:cs="Arial"/>
          <w:b/>
        </w:rPr>
      </w:pPr>
    </w:p>
    <w:p w:rsidR="00000000" w:rsidRDefault="00BC67ED">
      <w:pPr>
        <w:ind w:left="86"/>
        <w:jc w:val="center"/>
        <w:rPr>
          <w:rFonts w:ascii="Arial" w:hAnsi="Arial" w:cs="Arial"/>
          <w:b/>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tbl>
      <w:tblPr>
        <w:tblpPr w:leftFromText="141" w:rightFromText="141" w:vertAnchor="page" w:horzAnchor="page" w:tblpX="4179" w:tblpY="7849"/>
        <w:tblW w:w="5204" w:type="dxa"/>
        <w:tblCellMar>
          <w:left w:w="70" w:type="dxa"/>
          <w:right w:w="70" w:type="dxa"/>
        </w:tblCellMar>
        <w:tblLook w:val="0000"/>
      </w:tblPr>
      <w:tblGrid>
        <w:gridCol w:w="1701"/>
        <w:gridCol w:w="1207"/>
        <w:gridCol w:w="1288"/>
        <w:gridCol w:w="1008"/>
      </w:tblGrid>
      <w:tr w:rsidR="00000000">
        <w:trPr>
          <w:trHeight w:val="360"/>
        </w:trPr>
        <w:tc>
          <w:tcPr>
            <w:tcW w:w="2908"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rPr>
                <w:rFonts w:ascii="Arial" w:hAnsi="Arial" w:cs="Arial"/>
              </w:rPr>
            </w:pPr>
          </w:p>
        </w:tc>
        <w:tc>
          <w:tcPr>
            <w:tcW w:w="1008" w:type="dxa"/>
            <w:tcBorders>
              <w:top w:val="single" w:sz="4" w:space="0" w:color="auto"/>
              <w:left w:val="single" w:sz="4" w:space="0" w:color="auto"/>
              <w:bottom w:val="single" w:sz="4" w:space="0" w:color="auto"/>
              <w:right w:val="single" w:sz="4" w:space="0" w:color="auto"/>
            </w:tcBorders>
            <w:noWrap/>
            <w:vAlign w:val="bottom"/>
          </w:tcPr>
          <w:p w:rsidR="00000000" w:rsidRDefault="00BC67ED">
            <w:pPr>
              <w:rPr>
                <w:rFonts w:ascii="Arial" w:hAnsi="Arial" w:cs="Arial"/>
              </w:rPr>
            </w:pP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Obesid</w:t>
            </w:r>
            <w:r>
              <w:rPr>
                <w:rFonts w:ascii="Arial" w:hAnsi="Arial" w:cs="Arial"/>
                <w:b/>
                <w:bCs/>
              </w:rPr>
              <w:t>ad</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Positivo</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Barret</w:t>
            </w:r>
          </w:p>
          <w:p w:rsidR="00000000" w:rsidRDefault="00BC67ED">
            <w:pPr>
              <w:jc w:val="center"/>
              <w:rPr>
                <w:rFonts w:ascii="Arial" w:hAnsi="Arial" w:cs="Arial"/>
                <w:b/>
                <w:bCs/>
              </w:rPr>
            </w:pPr>
            <w:r>
              <w:rPr>
                <w:rFonts w:ascii="Arial" w:hAnsi="Arial" w:cs="Arial"/>
                <w:b/>
                <w:bCs/>
              </w:rPr>
              <w:t>Negativo</w:t>
            </w:r>
          </w:p>
        </w:tc>
        <w:tc>
          <w:tcPr>
            <w:tcW w:w="100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Es Obeso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13,793</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14,167</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 Es Obeso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86,206</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85,833</w:t>
            </w:r>
          </w:p>
        </w:tc>
      </w:tr>
      <w:tr w:rsidR="00000000">
        <w:trPr>
          <w:trHeight w:val="255"/>
        </w:trPr>
        <w:tc>
          <w:tcPr>
            <w:tcW w:w="170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86"/>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spacing w:line="360" w:lineRule="auto"/>
        <w:ind w:firstLine="708"/>
        <w:jc w:val="center"/>
        <w:rPr>
          <w:rFonts w:ascii="Arial" w:hAnsi="Arial" w:cs="Arial"/>
          <w:b/>
        </w:rPr>
      </w:pPr>
      <w:r>
        <w:rPr>
          <w:rFonts w:ascii="Arial" w:hAnsi="Arial" w:cs="Arial"/>
          <w:b/>
        </w:rPr>
        <w:t>FIGURA 4-8</w:t>
      </w:r>
    </w:p>
    <w:p w:rsidR="00000000" w:rsidRDefault="00BC67ED">
      <w:pPr>
        <w:ind w:firstLine="708"/>
        <w:jc w:val="center"/>
        <w:rPr>
          <w:rFonts w:ascii="Arial" w:hAnsi="Arial" w:cs="Arial"/>
          <w:b/>
          <w:caps/>
        </w:rPr>
      </w:pPr>
      <w:r>
        <w:rPr>
          <w:rFonts w:ascii="Arial" w:hAnsi="Arial" w:cs="Arial"/>
          <w:b/>
          <w:caps/>
        </w:rPr>
        <w:lastRenderedPageBreak/>
        <w:t>Gráfico de Correspondencias</w:t>
      </w:r>
    </w:p>
    <w:p w:rsidR="00000000" w:rsidRDefault="00BC67ED">
      <w:pPr>
        <w:ind w:left="348"/>
        <w:jc w:val="center"/>
        <w:rPr>
          <w:rFonts w:ascii="Arial" w:hAnsi="Arial" w:cs="Arial"/>
          <w:b/>
          <w:caps/>
        </w:rPr>
      </w:pPr>
      <w:r>
        <w:rPr>
          <w:rFonts w:ascii="Arial" w:hAnsi="Arial" w:cs="Arial"/>
          <w:b/>
        </w:rPr>
        <w:t xml:space="preserve">     </w:t>
      </w:r>
      <w:r>
        <w:rPr>
          <w:rFonts w:ascii="Arial" w:hAnsi="Arial" w:cs="Arial"/>
          <w:b/>
          <w:caps/>
        </w:rPr>
        <w:t>Obesidad vs. Esófago de Barret</w:t>
      </w:r>
    </w:p>
    <w:p w:rsidR="00000000" w:rsidRDefault="00BC67ED">
      <w:pPr>
        <w:ind w:firstLine="708"/>
        <w:jc w:val="center"/>
        <w:rPr>
          <w:rFonts w:ascii="Arial" w:hAnsi="Arial" w:cs="Arial"/>
          <w:b/>
        </w:rPr>
      </w:pPr>
      <w:r>
        <w:rPr>
          <w:rFonts w:ascii="Arial" w:hAnsi="Arial" w:cs="Arial"/>
          <w:b/>
        </w:rPr>
        <w:t xml:space="preserve"> (Cáncer de Esófago)</w:t>
      </w:r>
    </w:p>
    <w:p w:rsidR="00000000" w:rsidRDefault="00BC67ED">
      <w:pPr>
        <w:ind w:left="1080"/>
        <w:jc w:val="center"/>
        <w:rPr>
          <w:rFonts w:ascii="Arial" w:hAnsi="Arial" w:cs="Arial"/>
          <w:sz w:val="20"/>
          <w:szCs w:val="20"/>
        </w:rPr>
      </w:pPr>
    </w:p>
    <w:p w:rsidR="00000000" w:rsidRDefault="00221239">
      <w:pPr>
        <w:ind w:left="708"/>
        <w:jc w:val="center"/>
        <w:rPr>
          <w:rFonts w:ascii="Arial" w:hAnsi="Arial" w:cs="Arial"/>
          <w:sz w:val="20"/>
          <w:szCs w:val="20"/>
        </w:rPr>
      </w:pPr>
      <w:r>
        <w:rPr>
          <w:rFonts w:ascii="Arial" w:hAnsi="Arial" w:cs="Arial"/>
          <w:noProof/>
          <w:sz w:val="20"/>
          <w:szCs w:val="20"/>
          <w:lang w:val="es-ES" w:eastAsia="es-ES"/>
        </w:rPr>
        <w:drawing>
          <wp:inline distT="0" distB="0" distL="0" distR="0">
            <wp:extent cx="5266690" cy="4228465"/>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8"/>
                    <a:srcRect/>
                    <a:stretch>
                      <a:fillRect/>
                    </a:stretch>
                  </pic:blipFill>
                  <pic:spPr bwMode="auto">
                    <a:xfrm>
                      <a:off x="0" y="0"/>
                      <a:ext cx="5266690" cy="4228465"/>
                    </a:xfrm>
                    <a:prstGeom prst="rect">
                      <a:avLst/>
                    </a:prstGeom>
                    <a:noFill/>
                    <a:ln w="9525">
                      <a:noFill/>
                      <a:miter lim="800000"/>
                      <a:headEnd/>
                      <a:tailEnd/>
                    </a:ln>
                  </pic:spPr>
                </pic:pic>
              </a:graphicData>
            </a:graphic>
          </wp:inline>
        </w:drawing>
      </w: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ind w:left="1080"/>
        <w:jc w:val="center"/>
        <w:rPr>
          <w:rFonts w:ascii="Arial" w:hAnsi="Arial" w:cs="Arial"/>
          <w:sz w:val="20"/>
          <w:szCs w:val="20"/>
        </w:rPr>
      </w:pPr>
    </w:p>
    <w:p w:rsidR="00000000" w:rsidRDefault="00BC67ED">
      <w:pPr>
        <w:pStyle w:val="Textoindependiente"/>
        <w:spacing w:line="480" w:lineRule="auto"/>
        <w:ind w:left="708"/>
        <w:rPr>
          <w:rFonts w:ascii="Arial" w:hAnsi="Arial"/>
        </w:rPr>
      </w:pPr>
      <w:r>
        <w:rPr>
          <w:rFonts w:ascii="Arial" w:hAnsi="Arial"/>
        </w:rPr>
        <w:t>En la f</w:t>
      </w:r>
      <w:r>
        <w:rPr>
          <w:rFonts w:ascii="Arial" w:hAnsi="Arial"/>
        </w:rPr>
        <w:t>igura 4-8 podemos observar  que no existe una marcada relación entre este par de variables, es decir que los pacientes obesos tienen la tendencia a padecer de esófago de barret, y que una persona delgada podría no padecer de esófago de barret.</w:t>
      </w:r>
    </w:p>
    <w:p w:rsidR="00000000" w:rsidRDefault="00BC67ED">
      <w:pPr>
        <w:pStyle w:val="Sangradetextonormal"/>
        <w:tabs>
          <w:tab w:val="left" w:pos="1260"/>
          <w:tab w:val="left" w:pos="1440"/>
        </w:tabs>
        <w:ind w:left="708"/>
        <w:jc w:val="center"/>
        <w:rPr>
          <w:rFonts w:ascii="Arial" w:hAnsi="Arial" w:cs="Arial"/>
          <w:b/>
          <w:bCs/>
        </w:rPr>
      </w:pPr>
    </w:p>
    <w:p w:rsidR="00000000" w:rsidRDefault="00BC67ED">
      <w:pPr>
        <w:pStyle w:val="Sangradetextonormal"/>
        <w:tabs>
          <w:tab w:val="left" w:pos="1260"/>
          <w:tab w:val="left" w:pos="1440"/>
        </w:tabs>
        <w:ind w:left="708"/>
        <w:jc w:val="center"/>
        <w:rPr>
          <w:rFonts w:ascii="Arial" w:hAnsi="Arial" w:cs="Arial"/>
          <w:b/>
          <w:bCs/>
        </w:rPr>
      </w:pPr>
    </w:p>
    <w:p w:rsidR="00000000" w:rsidRDefault="00BC67ED">
      <w:pPr>
        <w:pStyle w:val="Sangradetextonormal"/>
        <w:tabs>
          <w:tab w:val="left" w:pos="1260"/>
          <w:tab w:val="left" w:pos="1440"/>
        </w:tabs>
        <w:ind w:left="708"/>
        <w:jc w:val="center"/>
        <w:rPr>
          <w:rFonts w:ascii="Arial" w:hAnsi="Arial" w:cs="Arial"/>
          <w:b/>
          <w:bCs/>
        </w:rPr>
      </w:pP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t>Tabla XLI</w:t>
      </w: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lastRenderedPageBreak/>
        <w:t>Análisis de Correspondencia del</w:t>
      </w:r>
    </w:p>
    <w:p w:rsidR="00000000" w:rsidRDefault="00BC67ED">
      <w:pPr>
        <w:ind w:left="684"/>
        <w:jc w:val="center"/>
        <w:rPr>
          <w:rFonts w:ascii="Arial" w:hAnsi="Arial" w:cs="Arial"/>
          <w:sz w:val="20"/>
          <w:szCs w:val="20"/>
        </w:rPr>
      </w:pPr>
      <w:r>
        <w:rPr>
          <w:rFonts w:ascii="Arial" w:hAnsi="Arial" w:cs="Arial"/>
          <w:b/>
        </w:rPr>
        <w:t>ADK vs. Dieta Dirigida</w:t>
      </w: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tbl>
      <w:tblPr>
        <w:tblW w:w="5230"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1"/>
        <w:gridCol w:w="1207"/>
        <w:gridCol w:w="1288"/>
        <w:gridCol w:w="914"/>
      </w:tblGrid>
      <w:tr w:rsidR="00000000">
        <w:trPr>
          <w:trHeight w:val="255"/>
        </w:trPr>
        <w:tc>
          <w:tcPr>
            <w:tcW w:w="1821" w:type="dxa"/>
            <w:noWrap/>
            <w:vAlign w:val="bottom"/>
          </w:tcPr>
          <w:p w:rsidR="00000000" w:rsidRDefault="00BC67ED">
            <w:pPr>
              <w:jc w:val="center"/>
              <w:rPr>
                <w:rFonts w:ascii="Arial" w:hAnsi="Arial" w:cs="Arial"/>
                <w:b/>
                <w:bCs/>
              </w:rPr>
            </w:pPr>
            <w:r>
              <w:rPr>
                <w:rFonts w:ascii="Arial" w:hAnsi="Arial" w:cs="Arial"/>
                <w:b/>
                <w:bCs/>
              </w:rPr>
              <w:t>Dieta Dirigida</w:t>
            </w:r>
          </w:p>
        </w:tc>
        <w:tc>
          <w:tcPr>
            <w:tcW w:w="1207" w:type="dxa"/>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Positivo</w:t>
            </w:r>
          </w:p>
        </w:tc>
        <w:tc>
          <w:tcPr>
            <w:tcW w:w="1288" w:type="dxa"/>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Negativo</w:t>
            </w:r>
          </w:p>
        </w:tc>
        <w:tc>
          <w:tcPr>
            <w:tcW w:w="914"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821" w:type="dxa"/>
            <w:noWrap/>
            <w:vAlign w:val="bottom"/>
          </w:tcPr>
          <w:p w:rsidR="00000000" w:rsidRDefault="00BC67ED">
            <w:pPr>
              <w:rPr>
                <w:rFonts w:ascii="Arial" w:hAnsi="Arial" w:cs="Arial"/>
                <w:i/>
                <w:iCs/>
              </w:rPr>
            </w:pPr>
            <w:r>
              <w:rPr>
                <w:rFonts w:ascii="Arial" w:hAnsi="Arial" w:cs="Arial"/>
                <w:i/>
                <w:iCs/>
              </w:rPr>
              <w:t>No</w:t>
            </w:r>
          </w:p>
        </w:tc>
        <w:tc>
          <w:tcPr>
            <w:tcW w:w="1207" w:type="dxa"/>
            <w:noWrap/>
            <w:vAlign w:val="bottom"/>
          </w:tcPr>
          <w:p w:rsidR="00000000" w:rsidRDefault="00BC67ED">
            <w:pPr>
              <w:jc w:val="right"/>
              <w:rPr>
                <w:rFonts w:ascii="Arial" w:hAnsi="Arial" w:cs="Arial"/>
              </w:rPr>
            </w:pPr>
            <w:r>
              <w:rPr>
                <w:rFonts w:ascii="Arial" w:hAnsi="Arial" w:cs="Arial"/>
              </w:rPr>
              <w:t>28</w:t>
            </w:r>
          </w:p>
        </w:tc>
        <w:tc>
          <w:tcPr>
            <w:tcW w:w="1288" w:type="dxa"/>
            <w:noWrap/>
            <w:vAlign w:val="bottom"/>
          </w:tcPr>
          <w:p w:rsidR="00000000" w:rsidRDefault="00BC67ED">
            <w:pPr>
              <w:jc w:val="right"/>
              <w:rPr>
                <w:rFonts w:ascii="Arial" w:hAnsi="Arial" w:cs="Arial"/>
              </w:rPr>
            </w:pPr>
            <w:r>
              <w:rPr>
                <w:rFonts w:ascii="Arial" w:hAnsi="Arial" w:cs="Arial"/>
              </w:rPr>
              <w:t>72</w:t>
            </w:r>
          </w:p>
        </w:tc>
        <w:tc>
          <w:tcPr>
            <w:tcW w:w="914" w:type="dxa"/>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821" w:type="dxa"/>
            <w:noWrap/>
            <w:vAlign w:val="bottom"/>
          </w:tcPr>
          <w:p w:rsidR="00000000" w:rsidRDefault="00BC67ED">
            <w:pPr>
              <w:rPr>
                <w:rFonts w:ascii="Arial" w:hAnsi="Arial" w:cs="Arial"/>
                <w:i/>
                <w:iCs/>
              </w:rPr>
            </w:pPr>
            <w:r>
              <w:rPr>
                <w:rFonts w:ascii="Arial" w:hAnsi="Arial" w:cs="Arial"/>
                <w:i/>
                <w:iCs/>
              </w:rPr>
              <w:t>A veces</w:t>
            </w:r>
          </w:p>
        </w:tc>
        <w:tc>
          <w:tcPr>
            <w:tcW w:w="1207" w:type="dxa"/>
            <w:noWrap/>
            <w:vAlign w:val="bottom"/>
          </w:tcPr>
          <w:p w:rsidR="00000000" w:rsidRDefault="00BC67ED">
            <w:pPr>
              <w:jc w:val="right"/>
              <w:rPr>
                <w:rFonts w:ascii="Arial" w:hAnsi="Arial" w:cs="Arial"/>
              </w:rPr>
            </w:pPr>
            <w:r>
              <w:rPr>
                <w:rFonts w:ascii="Arial" w:hAnsi="Arial" w:cs="Arial"/>
              </w:rPr>
              <w:t>2</w:t>
            </w:r>
          </w:p>
        </w:tc>
        <w:tc>
          <w:tcPr>
            <w:tcW w:w="1288" w:type="dxa"/>
            <w:noWrap/>
            <w:vAlign w:val="bottom"/>
          </w:tcPr>
          <w:p w:rsidR="00000000" w:rsidRDefault="00BC67ED">
            <w:pPr>
              <w:jc w:val="right"/>
              <w:rPr>
                <w:rFonts w:ascii="Arial" w:hAnsi="Arial" w:cs="Arial"/>
              </w:rPr>
            </w:pPr>
            <w:r>
              <w:rPr>
                <w:rFonts w:ascii="Arial" w:hAnsi="Arial" w:cs="Arial"/>
              </w:rPr>
              <w:t>9</w:t>
            </w:r>
          </w:p>
        </w:tc>
        <w:tc>
          <w:tcPr>
            <w:tcW w:w="914" w:type="dxa"/>
            <w:noWrap/>
            <w:vAlign w:val="bottom"/>
          </w:tcPr>
          <w:p w:rsidR="00000000" w:rsidRDefault="00BC67ED">
            <w:pPr>
              <w:jc w:val="right"/>
              <w:rPr>
                <w:rFonts w:ascii="Arial" w:hAnsi="Arial" w:cs="Arial"/>
              </w:rPr>
            </w:pPr>
            <w:r>
              <w:rPr>
                <w:rFonts w:ascii="Arial" w:hAnsi="Arial" w:cs="Arial"/>
              </w:rPr>
              <w:t>11</w:t>
            </w:r>
          </w:p>
        </w:tc>
      </w:tr>
      <w:tr w:rsidR="00000000">
        <w:trPr>
          <w:trHeight w:val="255"/>
        </w:trPr>
        <w:tc>
          <w:tcPr>
            <w:tcW w:w="1821" w:type="dxa"/>
            <w:noWrap/>
            <w:vAlign w:val="bottom"/>
          </w:tcPr>
          <w:p w:rsidR="00000000" w:rsidRDefault="00BC67ED">
            <w:pPr>
              <w:rPr>
                <w:rFonts w:ascii="Arial" w:hAnsi="Arial" w:cs="Arial"/>
                <w:i/>
                <w:iCs/>
              </w:rPr>
            </w:pPr>
            <w:r>
              <w:rPr>
                <w:rFonts w:ascii="Arial" w:hAnsi="Arial" w:cs="Arial"/>
                <w:i/>
                <w:iCs/>
              </w:rPr>
              <w:t>Casi Siempre</w:t>
            </w:r>
          </w:p>
        </w:tc>
        <w:tc>
          <w:tcPr>
            <w:tcW w:w="1207" w:type="dxa"/>
            <w:noWrap/>
            <w:vAlign w:val="bottom"/>
          </w:tcPr>
          <w:p w:rsidR="00000000" w:rsidRDefault="00BC67ED">
            <w:pPr>
              <w:rPr>
                <w:rFonts w:ascii="Arial" w:hAnsi="Arial" w:cs="Arial"/>
              </w:rPr>
            </w:pPr>
            <w:r>
              <w:rPr>
                <w:rFonts w:ascii="Arial" w:hAnsi="Arial" w:cs="Arial"/>
              </w:rPr>
              <w:t> </w:t>
            </w:r>
          </w:p>
        </w:tc>
        <w:tc>
          <w:tcPr>
            <w:tcW w:w="1288" w:type="dxa"/>
            <w:noWrap/>
            <w:vAlign w:val="bottom"/>
          </w:tcPr>
          <w:p w:rsidR="00000000" w:rsidRDefault="00BC67ED">
            <w:pPr>
              <w:jc w:val="right"/>
              <w:rPr>
                <w:rFonts w:ascii="Arial" w:hAnsi="Arial" w:cs="Arial"/>
              </w:rPr>
            </w:pPr>
            <w:r>
              <w:rPr>
                <w:rFonts w:ascii="Arial" w:hAnsi="Arial" w:cs="Arial"/>
              </w:rPr>
              <w:t>1</w:t>
            </w:r>
          </w:p>
        </w:tc>
        <w:tc>
          <w:tcPr>
            <w:tcW w:w="914" w:type="dxa"/>
            <w:noWrap/>
            <w:vAlign w:val="bottom"/>
          </w:tcPr>
          <w:p w:rsidR="00000000" w:rsidRDefault="00BC67ED">
            <w:pPr>
              <w:jc w:val="right"/>
              <w:rPr>
                <w:rFonts w:ascii="Arial" w:hAnsi="Arial" w:cs="Arial"/>
              </w:rPr>
            </w:pPr>
            <w:r>
              <w:rPr>
                <w:rFonts w:ascii="Arial" w:hAnsi="Arial" w:cs="Arial"/>
              </w:rPr>
              <w:t>1</w:t>
            </w:r>
          </w:p>
        </w:tc>
      </w:tr>
      <w:tr w:rsidR="00000000">
        <w:trPr>
          <w:trHeight w:val="255"/>
        </w:trPr>
        <w:tc>
          <w:tcPr>
            <w:tcW w:w="1821" w:type="dxa"/>
            <w:noWrap/>
            <w:vAlign w:val="bottom"/>
          </w:tcPr>
          <w:p w:rsidR="00000000" w:rsidRDefault="00BC67ED">
            <w:pPr>
              <w:rPr>
                <w:rFonts w:ascii="Arial" w:hAnsi="Arial" w:cs="Arial"/>
                <w:i/>
                <w:iCs/>
              </w:rPr>
            </w:pPr>
            <w:r>
              <w:rPr>
                <w:rFonts w:ascii="Arial" w:hAnsi="Arial" w:cs="Arial"/>
                <w:i/>
                <w:iCs/>
              </w:rPr>
              <w:t>Siempre</w:t>
            </w:r>
          </w:p>
        </w:tc>
        <w:tc>
          <w:tcPr>
            <w:tcW w:w="1207" w:type="dxa"/>
            <w:noWrap/>
            <w:vAlign w:val="bottom"/>
          </w:tcPr>
          <w:p w:rsidR="00000000" w:rsidRDefault="00BC67ED">
            <w:pPr>
              <w:jc w:val="right"/>
              <w:rPr>
                <w:rFonts w:ascii="Arial" w:hAnsi="Arial" w:cs="Arial"/>
              </w:rPr>
            </w:pPr>
            <w:r>
              <w:rPr>
                <w:rFonts w:ascii="Arial" w:hAnsi="Arial" w:cs="Arial"/>
              </w:rPr>
              <w:t>1</w:t>
            </w:r>
          </w:p>
        </w:tc>
        <w:tc>
          <w:tcPr>
            <w:tcW w:w="1288" w:type="dxa"/>
            <w:noWrap/>
            <w:vAlign w:val="bottom"/>
          </w:tcPr>
          <w:p w:rsidR="00000000" w:rsidRDefault="00BC67ED">
            <w:pPr>
              <w:jc w:val="right"/>
              <w:rPr>
                <w:rFonts w:ascii="Arial" w:hAnsi="Arial" w:cs="Arial"/>
              </w:rPr>
            </w:pPr>
            <w:r>
              <w:rPr>
                <w:rFonts w:ascii="Arial" w:hAnsi="Arial" w:cs="Arial"/>
              </w:rPr>
              <w:t>7</w:t>
            </w:r>
          </w:p>
        </w:tc>
        <w:tc>
          <w:tcPr>
            <w:tcW w:w="914" w:type="dxa"/>
            <w:noWrap/>
            <w:vAlign w:val="bottom"/>
          </w:tcPr>
          <w:p w:rsidR="00000000" w:rsidRDefault="00BC67ED">
            <w:pPr>
              <w:jc w:val="right"/>
              <w:rPr>
                <w:rFonts w:ascii="Arial" w:hAnsi="Arial" w:cs="Arial"/>
              </w:rPr>
            </w:pPr>
            <w:r>
              <w:rPr>
                <w:rFonts w:ascii="Arial" w:hAnsi="Arial" w:cs="Arial"/>
              </w:rPr>
              <w:t>8</w:t>
            </w:r>
          </w:p>
        </w:tc>
      </w:tr>
      <w:tr w:rsidR="00000000">
        <w:trPr>
          <w:trHeight w:val="255"/>
        </w:trPr>
        <w:tc>
          <w:tcPr>
            <w:tcW w:w="1821"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noWrap/>
            <w:vAlign w:val="bottom"/>
          </w:tcPr>
          <w:p w:rsidR="00000000" w:rsidRDefault="00BC67ED">
            <w:pPr>
              <w:jc w:val="right"/>
              <w:rPr>
                <w:rFonts w:ascii="Arial" w:hAnsi="Arial" w:cs="Arial"/>
              </w:rPr>
            </w:pPr>
            <w:r>
              <w:rPr>
                <w:rFonts w:ascii="Arial" w:hAnsi="Arial" w:cs="Arial"/>
              </w:rPr>
              <w:t>31</w:t>
            </w:r>
          </w:p>
        </w:tc>
        <w:tc>
          <w:tcPr>
            <w:tcW w:w="1288" w:type="dxa"/>
            <w:noWrap/>
            <w:vAlign w:val="bottom"/>
          </w:tcPr>
          <w:p w:rsidR="00000000" w:rsidRDefault="00BC67ED">
            <w:pPr>
              <w:jc w:val="right"/>
              <w:rPr>
                <w:rFonts w:ascii="Arial" w:hAnsi="Arial" w:cs="Arial"/>
              </w:rPr>
            </w:pPr>
            <w:r>
              <w:rPr>
                <w:rFonts w:ascii="Arial" w:hAnsi="Arial" w:cs="Arial"/>
              </w:rPr>
              <w:t>89</w:t>
            </w:r>
          </w:p>
        </w:tc>
        <w:tc>
          <w:tcPr>
            <w:tcW w:w="914" w:type="dxa"/>
            <w:noWrap/>
            <w:vAlign w:val="bottom"/>
          </w:tcPr>
          <w:p w:rsidR="00000000" w:rsidRDefault="00BC67ED">
            <w:pPr>
              <w:jc w:val="right"/>
              <w:rPr>
                <w:rFonts w:ascii="Arial" w:hAnsi="Arial" w:cs="Arial"/>
              </w:rPr>
            </w:pPr>
            <w:r>
              <w:rPr>
                <w:rFonts w:ascii="Arial" w:hAnsi="Arial" w:cs="Arial"/>
              </w:rPr>
              <w:t>120</w:t>
            </w:r>
          </w:p>
        </w:tc>
      </w:tr>
    </w:tbl>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tbl>
      <w:tblPr>
        <w:tblW w:w="5230" w:type="dxa"/>
        <w:tblInd w:w="2340" w:type="dxa"/>
        <w:tblCellMar>
          <w:left w:w="70" w:type="dxa"/>
          <w:right w:w="70" w:type="dxa"/>
        </w:tblCellMar>
        <w:tblLook w:val="0000"/>
      </w:tblPr>
      <w:tblGrid>
        <w:gridCol w:w="1821"/>
        <w:gridCol w:w="1207"/>
        <w:gridCol w:w="1288"/>
        <w:gridCol w:w="914"/>
      </w:tblGrid>
      <w:tr w:rsidR="00000000">
        <w:trPr>
          <w:trHeight w:val="360"/>
        </w:trPr>
        <w:tc>
          <w:tcPr>
            <w:tcW w:w="3028"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1288" w:type="dxa"/>
            <w:tcBorders>
              <w:top w:val="nil"/>
              <w:left w:val="nil"/>
              <w:bottom w:val="nil"/>
              <w:right w:val="nil"/>
            </w:tcBorders>
            <w:noWrap/>
            <w:vAlign w:val="bottom"/>
          </w:tcPr>
          <w:p w:rsidR="00000000" w:rsidRDefault="00BC67ED">
            <w:pPr>
              <w:rPr>
                <w:rFonts w:ascii="Arial" w:hAnsi="Arial" w:cs="Arial"/>
              </w:rPr>
            </w:pPr>
          </w:p>
        </w:tc>
        <w:tc>
          <w:tcPr>
            <w:tcW w:w="914" w:type="dxa"/>
            <w:tcBorders>
              <w:top w:val="nil"/>
              <w:left w:val="nil"/>
              <w:bottom w:val="nil"/>
              <w:right w:val="nil"/>
            </w:tcBorders>
            <w:noWrap/>
            <w:vAlign w:val="bottom"/>
          </w:tcPr>
          <w:p w:rsidR="00000000" w:rsidRDefault="00BC67ED">
            <w:pPr>
              <w:rPr>
                <w:rFonts w:ascii="Arial" w:hAnsi="Arial" w:cs="Arial"/>
              </w:rPr>
            </w:pP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1207" w:type="dxa"/>
            <w:tcBorders>
              <w:top w:val="nil"/>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Dieta Dirigida</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Positivo</w:t>
            </w:r>
          </w:p>
        </w:tc>
        <w:tc>
          <w:tcPr>
            <w:tcW w:w="128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Negati</w:t>
            </w:r>
            <w:r>
              <w:rPr>
                <w:rFonts w:ascii="Arial" w:hAnsi="Arial" w:cs="Arial"/>
                <w:b/>
                <w:bCs/>
              </w:rPr>
              <w:t>vo</w:t>
            </w:r>
          </w:p>
        </w:tc>
        <w:tc>
          <w:tcPr>
            <w:tcW w:w="914"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28</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72</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 veces</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18,181</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81,818</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Casi Siempre</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Siempre</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12,5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87,5</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25,833</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74,167</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tbl>
      <w:tblPr>
        <w:tblW w:w="5324" w:type="dxa"/>
        <w:tblInd w:w="2340" w:type="dxa"/>
        <w:tblCellMar>
          <w:left w:w="70" w:type="dxa"/>
          <w:right w:w="70" w:type="dxa"/>
        </w:tblCellMar>
        <w:tblLook w:val="0000"/>
      </w:tblPr>
      <w:tblGrid>
        <w:gridCol w:w="1821"/>
        <w:gridCol w:w="1207"/>
        <w:gridCol w:w="1288"/>
        <w:gridCol w:w="1008"/>
      </w:tblGrid>
      <w:tr w:rsidR="00000000">
        <w:trPr>
          <w:trHeight w:val="360"/>
        </w:trPr>
        <w:tc>
          <w:tcPr>
            <w:tcW w:w="3028"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1288" w:type="dxa"/>
            <w:tcBorders>
              <w:top w:val="nil"/>
              <w:left w:val="nil"/>
              <w:bottom w:val="nil"/>
              <w:right w:val="nil"/>
            </w:tcBorders>
            <w:noWrap/>
            <w:vAlign w:val="bottom"/>
          </w:tcPr>
          <w:p w:rsidR="00000000" w:rsidRDefault="00BC67ED">
            <w:pPr>
              <w:rPr>
                <w:rFonts w:ascii="Arial" w:hAnsi="Arial" w:cs="Arial"/>
              </w:rPr>
            </w:pPr>
          </w:p>
        </w:tc>
        <w:tc>
          <w:tcPr>
            <w:tcW w:w="1008" w:type="dxa"/>
            <w:tcBorders>
              <w:top w:val="nil"/>
              <w:left w:val="nil"/>
              <w:bottom w:val="nil"/>
              <w:right w:val="nil"/>
            </w:tcBorders>
            <w:noWrap/>
            <w:vAlign w:val="bottom"/>
          </w:tcPr>
          <w:p w:rsidR="00000000" w:rsidRDefault="00BC67ED">
            <w:pPr>
              <w:rPr>
                <w:rFonts w:ascii="Arial" w:hAnsi="Arial" w:cs="Arial"/>
              </w:rPr>
            </w:pP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1207" w:type="dxa"/>
            <w:tcBorders>
              <w:top w:val="nil"/>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1288" w:type="dxa"/>
            <w:tcBorders>
              <w:top w:val="single" w:sz="4" w:space="0" w:color="auto"/>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c>
          <w:tcPr>
            <w:tcW w:w="1008" w:type="dxa"/>
            <w:tcBorders>
              <w:top w:val="single" w:sz="4" w:space="0" w:color="auto"/>
              <w:left w:val="nil"/>
              <w:bottom w:val="single" w:sz="4" w:space="0" w:color="auto"/>
              <w:right w:val="single" w:sz="4" w:space="0" w:color="auto"/>
            </w:tcBorders>
            <w:noWrap/>
            <w:vAlign w:val="bottom"/>
          </w:tcPr>
          <w:p w:rsidR="00000000" w:rsidRDefault="00BC67ED">
            <w:pPr>
              <w:rPr>
                <w:rFonts w:ascii="Arial" w:hAnsi="Arial" w:cs="Arial"/>
              </w:rPr>
            </w:pPr>
            <w:r>
              <w:rPr>
                <w:rFonts w:ascii="Arial" w:hAnsi="Arial" w:cs="Arial"/>
              </w:rPr>
              <w:t> </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Dieta Dirigida</w:t>
            </w:r>
          </w:p>
        </w:tc>
        <w:tc>
          <w:tcPr>
            <w:tcW w:w="1207"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Positivo</w:t>
            </w:r>
          </w:p>
        </w:tc>
        <w:tc>
          <w:tcPr>
            <w:tcW w:w="128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p w:rsidR="00000000" w:rsidRDefault="00BC67ED">
            <w:pPr>
              <w:jc w:val="center"/>
              <w:rPr>
                <w:rFonts w:ascii="Arial" w:hAnsi="Arial" w:cs="Arial"/>
                <w:b/>
                <w:bCs/>
              </w:rPr>
            </w:pPr>
            <w:r>
              <w:rPr>
                <w:rFonts w:ascii="Arial" w:hAnsi="Arial" w:cs="Arial"/>
                <w:b/>
                <w:bCs/>
              </w:rPr>
              <w:t>Negativo</w:t>
            </w:r>
          </w:p>
        </w:tc>
        <w:tc>
          <w:tcPr>
            <w:tcW w:w="100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No</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90,322</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80,899</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83,333</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 veces</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6,4516</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10,112</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9,16</w:t>
            </w:r>
            <w:r>
              <w:rPr>
                <w:rFonts w:ascii="Arial" w:hAnsi="Arial" w:cs="Arial"/>
              </w:rPr>
              <w:t>7</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Casi Siempre</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1,123</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0,833</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Siempre</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3,225</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7,865</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6,667</w:t>
            </w:r>
          </w:p>
        </w:tc>
      </w:tr>
      <w:tr w:rsidR="00000000">
        <w:trPr>
          <w:trHeight w:val="255"/>
        </w:trPr>
        <w:tc>
          <w:tcPr>
            <w:tcW w:w="182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1207"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spacing w:line="360" w:lineRule="auto"/>
        <w:ind w:firstLine="708"/>
        <w:jc w:val="center"/>
        <w:rPr>
          <w:rFonts w:ascii="Arial" w:hAnsi="Arial" w:cs="Arial"/>
          <w:b/>
        </w:rPr>
      </w:pPr>
      <w:r>
        <w:rPr>
          <w:rFonts w:ascii="Arial" w:hAnsi="Arial" w:cs="Arial"/>
          <w:b/>
        </w:rPr>
        <w:t>FIGURA 4-9</w:t>
      </w:r>
    </w:p>
    <w:p w:rsidR="00000000" w:rsidRDefault="00BC67ED">
      <w:pPr>
        <w:ind w:firstLine="708"/>
        <w:jc w:val="center"/>
        <w:rPr>
          <w:rFonts w:ascii="Arial" w:hAnsi="Arial" w:cs="Arial"/>
          <w:b/>
          <w:caps/>
        </w:rPr>
      </w:pPr>
      <w:r>
        <w:rPr>
          <w:rFonts w:ascii="Arial" w:hAnsi="Arial" w:cs="Arial"/>
          <w:b/>
          <w:caps/>
        </w:rPr>
        <w:lastRenderedPageBreak/>
        <w:t>Gráfico de Correspondencias</w:t>
      </w:r>
    </w:p>
    <w:p w:rsidR="00000000" w:rsidRDefault="00BC67ED">
      <w:pPr>
        <w:ind w:left="684"/>
        <w:jc w:val="center"/>
        <w:rPr>
          <w:rFonts w:ascii="Arial" w:hAnsi="Arial" w:cs="Arial"/>
          <w:caps/>
          <w:sz w:val="20"/>
          <w:szCs w:val="20"/>
        </w:rPr>
      </w:pPr>
      <w:r>
        <w:rPr>
          <w:rFonts w:ascii="Arial" w:hAnsi="Arial" w:cs="Arial"/>
          <w:b/>
          <w:caps/>
        </w:rPr>
        <w:t xml:space="preserve">     ADK vs. Dieta Dirigida</w:t>
      </w:r>
    </w:p>
    <w:p w:rsidR="00000000" w:rsidRDefault="00BC67ED">
      <w:pPr>
        <w:ind w:firstLine="708"/>
        <w:jc w:val="center"/>
        <w:rPr>
          <w:rFonts w:ascii="Arial" w:hAnsi="Arial" w:cs="Arial"/>
          <w:b/>
        </w:rPr>
      </w:pPr>
      <w:r>
        <w:rPr>
          <w:rFonts w:ascii="Arial" w:hAnsi="Arial" w:cs="Arial"/>
          <w:b/>
        </w:rPr>
        <w:t xml:space="preserve"> (Cáncer de Esófago)</w:t>
      </w:r>
    </w:p>
    <w:p w:rsidR="00000000" w:rsidRDefault="00BC67ED">
      <w:pPr>
        <w:ind w:left="1416"/>
        <w:jc w:val="center"/>
        <w:rPr>
          <w:rFonts w:ascii="Arial" w:hAnsi="Arial" w:cs="Arial"/>
          <w:sz w:val="20"/>
          <w:szCs w:val="20"/>
        </w:rPr>
      </w:pPr>
    </w:p>
    <w:p w:rsidR="00000000" w:rsidRDefault="00221239">
      <w:pPr>
        <w:ind w:left="708"/>
        <w:jc w:val="center"/>
        <w:rPr>
          <w:rFonts w:ascii="Arial" w:hAnsi="Arial" w:cs="Arial"/>
          <w:sz w:val="20"/>
          <w:szCs w:val="20"/>
        </w:rPr>
      </w:pPr>
      <w:r>
        <w:rPr>
          <w:rFonts w:ascii="Arial" w:hAnsi="Arial" w:cs="Arial"/>
          <w:noProof/>
          <w:sz w:val="20"/>
          <w:szCs w:val="20"/>
          <w:lang w:val="es-ES" w:eastAsia="es-ES"/>
        </w:rPr>
        <w:drawing>
          <wp:inline distT="0" distB="0" distL="0" distR="0">
            <wp:extent cx="5266690" cy="433070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9"/>
                    <a:srcRect/>
                    <a:stretch>
                      <a:fillRect/>
                    </a:stretch>
                  </pic:blipFill>
                  <pic:spPr bwMode="auto">
                    <a:xfrm>
                      <a:off x="0" y="0"/>
                      <a:ext cx="5266690" cy="4330700"/>
                    </a:xfrm>
                    <a:prstGeom prst="rect">
                      <a:avLst/>
                    </a:prstGeom>
                    <a:noFill/>
                    <a:ln w="9525">
                      <a:noFill/>
                      <a:miter lim="800000"/>
                      <a:headEnd/>
                      <a:tailEnd/>
                    </a:ln>
                  </pic:spPr>
                </pic:pic>
              </a:graphicData>
            </a:graphic>
          </wp:inline>
        </w:drawing>
      </w: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ind w:left="1416"/>
        <w:jc w:val="center"/>
        <w:rPr>
          <w:rFonts w:ascii="Arial" w:hAnsi="Arial" w:cs="Arial"/>
          <w:sz w:val="20"/>
          <w:szCs w:val="20"/>
        </w:rPr>
      </w:pPr>
    </w:p>
    <w:p w:rsidR="00000000" w:rsidRDefault="00BC67ED">
      <w:pPr>
        <w:pStyle w:val="Textoindependiente"/>
        <w:spacing w:line="480" w:lineRule="auto"/>
        <w:ind w:left="708"/>
        <w:rPr>
          <w:rFonts w:ascii="Arial" w:hAnsi="Arial"/>
        </w:rPr>
      </w:pPr>
      <w:r>
        <w:rPr>
          <w:rFonts w:ascii="Arial" w:hAnsi="Arial"/>
        </w:rPr>
        <w:t>En la figura 4-9 podemos observar las relaciones existentes entre este pa</w:t>
      </w:r>
      <w:r>
        <w:rPr>
          <w:rFonts w:ascii="Arial" w:hAnsi="Arial"/>
        </w:rPr>
        <w:t>r de variables, podemos darnos cuenta que el factor dieta esta relacionada con el factor ADK, es decir los que no hacen dieta están más expuestos a contraer ADK y los que hacen dieta son los que menos relación tienen con esta patología.</w:t>
      </w:r>
    </w:p>
    <w:p w:rsidR="00000000" w:rsidRDefault="00BC67ED">
      <w:pPr>
        <w:pStyle w:val="Textoindependiente"/>
        <w:spacing w:line="480" w:lineRule="auto"/>
        <w:ind w:left="708"/>
        <w:rPr>
          <w:rFonts w:ascii="Arial" w:hAnsi="Arial"/>
        </w:rPr>
      </w:pP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t>Tabla XLII</w:t>
      </w:r>
    </w:p>
    <w:p w:rsidR="00000000" w:rsidRDefault="00BC67ED">
      <w:pPr>
        <w:pStyle w:val="Sangradetextonormal"/>
        <w:tabs>
          <w:tab w:val="left" w:pos="1260"/>
          <w:tab w:val="left" w:pos="1440"/>
        </w:tabs>
        <w:ind w:left="708"/>
        <w:jc w:val="center"/>
        <w:rPr>
          <w:rFonts w:ascii="Arial" w:hAnsi="Arial" w:cs="Arial"/>
          <w:b/>
          <w:bCs/>
        </w:rPr>
      </w:pPr>
      <w:r>
        <w:rPr>
          <w:rFonts w:ascii="Arial" w:hAnsi="Arial" w:cs="Arial"/>
          <w:b/>
          <w:bCs/>
        </w:rPr>
        <w:lastRenderedPageBreak/>
        <w:t>Análisi</w:t>
      </w:r>
      <w:r>
        <w:rPr>
          <w:rFonts w:ascii="Arial" w:hAnsi="Arial" w:cs="Arial"/>
          <w:b/>
          <w:bCs/>
        </w:rPr>
        <w:t>s de Correspondencia del</w:t>
      </w:r>
    </w:p>
    <w:p w:rsidR="00000000" w:rsidRDefault="00BC67ED">
      <w:pPr>
        <w:spacing w:line="480" w:lineRule="auto"/>
        <w:ind w:left="684"/>
        <w:jc w:val="center"/>
        <w:rPr>
          <w:rFonts w:ascii="Arial" w:hAnsi="Arial" w:cs="Arial"/>
          <w:b/>
        </w:rPr>
      </w:pPr>
      <w:r>
        <w:rPr>
          <w:rFonts w:ascii="Arial" w:hAnsi="Arial" w:cs="Arial"/>
          <w:b/>
        </w:rPr>
        <w:t xml:space="preserve"> Ingesta Cáustico vs. ADK</w:t>
      </w:r>
    </w:p>
    <w:tbl>
      <w:tblPr>
        <w:tblpPr w:leftFromText="141" w:rightFromText="141" w:vertAnchor="text" w:horzAnchor="page" w:tblpX="3639" w:tblpY="278"/>
        <w:tblW w:w="7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1"/>
        <w:gridCol w:w="2288"/>
        <w:gridCol w:w="2288"/>
        <w:gridCol w:w="914"/>
      </w:tblGrid>
      <w:tr w:rsidR="00000000">
        <w:trPr>
          <w:trHeight w:val="255"/>
        </w:trPr>
        <w:tc>
          <w:tcPr>
            <w:tcW w:w="1781" w:type="dxa"/>
            <w:noWrap/>
            <w:vAlign w:val="bottom"/>
          </w:tcPr>
          <w:p w:rsidR="00000000" w:rsidRDefault="00BC67ED">
            <w:pPr>
              <w:jc w:val="center"/>
              <w:rPr>
                <w:rFonts w:ascii="Arial" w:hAnsi="Arial" w:cs="Arial"/>
                <w:b/>
                <w:bCs/>
              </w:rPr>
            </w:pPr>
            <w:r>
              <w:rPr>
                <w:rFonts w:ascii="Arial" w:hAnsi="Arial" w:cs="Arial"/>
                <w:b/>
                <w:bCs/>
              </w:rPr>
              <w:t>ADK</w:t>
            </w:r>
          </w:p>
        </w:tc>
        <w:tc>
          <w:tcPr>
            <w:tcW w:w="2288" w:type="dxa"/>
            <w:noWrap/>
            <w:vAlign w:val="bottom"/>
          </w:tcPr>
          <w:p w:rsidR="00000000" w:rsidRDefault="00BC67ED">
            <w:pPr>
              <w:jc w:val="center"/>
              <w:rPr>
                <w:rFonts w:ascii="Arial" w:hAnsi="Arial" w:cs="Arial"/>
                <w:b/>
                <w:bCs/>
              </w:rPr>
            </w:pPr>
            <w:r>
              <w:rPr>
                <w:rFonts w:ascii="Arial" w:hAnsi="Arial" w:cs="Arial"/>
                <w:b/>
                <w:bCs/>
              </w:rPr>
              <w:t>Ingesta</w:t>
            </w:r>
          </w:p>
          <w:p w:rsidR="00000000" w:rsidRDefault="00BC67ED">
            <w:pPr>
              <w:jc w:val="center"/>
              <w:rPr>
                <w:rFonts w:ascii="Arial" w:hAnsi="Arial" w:cs="Arial"/>
                <w:b/>
                <w:bCs/>
              </w:rPr>
            </w:pPr>
            <w:r>
              <w:rPr>
                <w:rFonts w:ascii="Arial" w:hAnsi="Arial" w:cs="Arial"/>
                <w:b/>
                <w:bCs/>
              </w:rPr>
              <w:t>Cáustico Positivo</w:t>
            </w:r>
          </w:p>
        </w:tc>
        <w:tc>
          <w:tcPr>
            <w:tcW w:w="2288" w:type="dxa"/>
            <w:noWrap/>
            <w:vAlign w:val="bottom"/>
          </w:tcPr>
          <w:p w:rsidR="00000000" w:rsidRDefault="00BC67ED">
            <w:pPr>
              <w:jc w:val="center"/>
              <w:rPr>
                <w:rFonts w:ascii="Arial" w:hAnsi="Arial" w:cs="Arial"/>
                <w:b/>
                <w:bCs/>
              </w:rPr>
            </w:pPr>
            <w:r>
              <w:rPr>
                <w:rFonts w:ascii="Arial" w:hAnsi="Arial" w:cs="Arial"/>
                <w:b/>
                <w:bCs/>
              </w:rPr>
              <w:t>Ingesta</w:t>
            </w:r>
          </w:p>
          <w:p w:rsidR="00000000" w:rsidRDefault="00BC67ED">
            <w:pPr>
              <w:jc w:val="center"/>
              <w:rPr>
                <w:rFonts w:ascii="Arial" w:hAnsi="Arial" w:cs="Arial"/>
                <w:b/>
                <w:bCs/>
              </w:rPr>
            </w:pPr>
            <w:r>
              <w:rPr>
                <w:rFonts w:ascii="Arial" w:hAnsi="Arial" w:cs="Arial"/>
                <w:b/>
                <w:bCs/>
              </w:rPr>
              <w:t>Cáustico Positivo</w:t>
            </w:r>
          </w:p>
        </w:tc>
        <w:tc>
          <w:tcPr>
            <w:tcW w:w="914" w:type="dxa"/>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781" w:type="dxa"/>
            <w:noWrap/>
            <w:vAlign w:val="bottom"/>
          </w:tcPr>
          <w:p w:rsidR="00000000" w:rsidRDefault="00BC67ED">
            <w:pPr>
              <w:rPr>
                <w:rFonts w:ascii="Arial" w:hAnsi="Arial" w:cs="Arial"/>
                <w:i/>
                <w:iCs/>
              </w:rPr>
            </w:pPr>
            <w:r>
              <w:rPr>
                <w:rFonts w:ascii="Arial" w:hAnsi="Arial" w:cs="Arial"/>
                <w:i/>
                <w:iCs/>
              </w:rPr>
              <w:t>ADK Positivo</w:t>
            </w:r>
          </w:p>
        </w:tc>
        <w:tc>
          <w:tcPr>
            <w:tcW w:w="2288" w:type="dxa"/>
            <w:noWrap/>
            <w:vAlign w:val="bottom"/>
          </w:tcPr>
          <w:p w:rsidR="00000000" w:rsidRDefault="00BC67ED">
            <w:pPr>
              <w:jc w:val="right"/>
              <w:rPr>
                <w:rFonts w:ascii="Arial" w:hAnsi="Arial" w:cs="Arial"/>
              </w:rPr>
            </w:pPr>
            <w:r>
              <w:rPr>
                <w:rFonts w:ascii="Arial" w:hAnsi="Arial" w:cs="Arial"/>
              </w:rPr>
              <w:t>1</w:t>
            </w:r>
          </w:p>
        </w:tc>
        <w:tc>
          <w:tcPr>
            <w:tcW w:w="2288" w:type="dxa"/>
            <w:noWrap/>
            <w:vAlign w:val="bottom"/>
          </w:tcPr>
          <w:p w:rsidR="00000000" w:rsidRDefault="00BC67ED">
            <w:pPr>
              <w:jc w:val="right"/>
              <w:rPr>
                <w:rFonts w:ascii="Arial" w:hAnsi="Arial" w:cs="Arial"/>
              </w:rPr>
            </w:pPr>
            <w:r>
              <w:rPr>
                <w:rFonts w:ascii="Arial" w:hAnsi="Arial" w:cs="Arial"/>
              </w:rPr>
              <w:t>30</w:t>
            </w:r>
          </w:p>
        </w:tc>
        <w:tc>
          <w:tcPr>
            <w:tcW w:w="914" w:type="dxa"/>
            <w:noWrap/>
            <w:vAlign w:val="bottom"/>
          </w:tcPr>
          <w:p w:rsidR="00000000" w:rsidRDefault="00BC67ED">
            <w:pPr>
              <w:jc w:val="right"/>
              <w:rPr>
                <w:rFonts w:ascii="Arial" w:hAnsi="Arial" w:cs="Arial"/>
              </w:rPr>
            </w:pPr>
            <w:r>
              <w:rPr>
                <w:rFonts w:ascii="Arial" w:hAnsi="Arial" w:cs="Arial"/>
              </w:rPr>
              <w:t>31</w:t>
            </w:r>
          </w:p>
        </w:tc>
      </w:tr>
      <w:tr w:rsidR="00000000">
        <w:trPr>
          <w:trHeight w:val="255"/>
        </w:trPr>
        <w:tc>
          <w:tcPr>
            <w:tcW w:w="1781" w:type="dxa"/>
            <w:noWrap/>
            <w:vAlign w:val="bottom"/>
          </w:tcPr>
          <w:p w:rsidR="00000000" w:rsidRDefault="00BC67ED">
            <w:pPr>
              <w:rPr>
                <w:rFonts w:ascii="Arial" w:hAnsi="Arial" w:cs="Arial"/>
                <w:i/>
                <w:iCs/>
              </w:rPr>
            </w:pPr>
            <w:r>
              <w:rPr>
                <w:rFonts w:ascii="Arial" w:hAnsi="Arial" w:cs="Arial"/>
                <w:i/>
                <w:iCs/>
              </w:rPr>
              <w:t>ADK Negativo</w:t>
            </w:r>
          </w:p>
        </w:tc>
        <w:tc>
          <w:tcPr>
            <w:tcW w:w="2288" w:type="dxa"/>
            <w:noWrap/>
            <w:vAlign w:val="bottom"/>
          </w:tcPr>
          <w:p w:rsidR="00000000" w:rsidRDefault="00BC67ED">
            <w:pPr>
              <w:jc w:val="right"/>
              <w:rPr>
                <w:rFonts w:ascii="Arial" w:hAnsi="Arial" w:cs="Arial"/>
              </w:rPr>
            </w:pPr>
            <w:r>
              <w:rPr>
                <w:rFonts w:ascii="Arial" w:hAnsi="Arial" w:cs="Arial"/>
              </w:rPr>
              <w:t>7</w:t>
            </w:r>
          </w:p>
        </w:tc>
        <w:tc>
          <w:tcPr>
            <w:tcW w:w="2288" w:type="dxa"/>
            <w:noWrap/>
            <w:vAlign w:val="bottom"/>
          </w:tcPr>
          <w:p w:rsidR="00000000" w:rsidRDefault="00BC67ED">
            <w:pPr>
              <w:jc w:val="right"/>
              <w:rPr>
                <w:rFonts w:ascii="Arial" w:hAnsi="Arial" w:cs="Arial"/>
              </w:rPr>
            </w:pPr>
            <w:r>
              <w:rPr>
                <w:rFonts w:ascii="Arial" w:hAnsi="Arial" w:cs="Arial"/>
              </w:rPr>
              <w:t>82</w:t>
            </w:r>
          </w:p>
        </w:tc>
        <w:tc>
          <w:tcPr>
            <w:tcW w:w="914" w:type="dxa"/>
            <w:noWrap/>
            <w:vAlign w:val="bottom"/>
          </w:tcPr>
          <w:p w:rsidR="00000000" w:rsidRDefault="00BC67ED">
            <w:pPr>
              <w:jc w:val="right"/>
              <w:rPr>
                <w:rFonts w:ascii="Arial" w:hAnsi="Arial" w:cs="Arial"/>
              </w:rPr>
            </w:pPr>
            <w:r>
              <w:rPr>
                <w:rFonts w:ascii="Arial" w:hAnsi="Arial" w:cs="Arial"/>
              </w:rPr>
              <w:t>89</w:t>
            </w:r>
          </w:p>
        </w:tc>
      </w:tr>
      <w:tr w:rsidR="00000000">
        <w:trPr>
          <w:trHeight w:val="255"/>
        </w:trPr>
        <w:tc>
          <w:tcPr>
            <w:tcW w:w="1781" w:type="dxa"/>
            <w:noWrap/>
            <w:vAlign w:val="bottom"/>
          </w:tcPr>
          <w:p w:rsidR="00000000" w:rsidRDefault="00BC67ED">
            <w:pPr>
              <w:jc w:val="center"/>
              <w:rPr>
                <w:rFonts w:ascii="Arial" w:hAnsi="Arial" w:cs="Arial"/>
              </w:rPr>
            </w:pPr>
            <w:r>
              <w:rPr>
                <w:rFonts w:ascii="Arial" w:hAnsi="Arial" w:cs="Arial"/>
                <w:b/>
                <w:bCs/>
                <w:i/>
                <w:iCs/>
              </w:rPr>
              <w:t>Total</w:t>
            </w:r>
          </w:p>
        </w:tc>
        <w:tc>
          <w:tcPr>
            <w:tcW w:w="2288" w:type="dxa"/>
            <w:noWrap/>
            <w:vAlign w:val="bottom"/>
          </w:tcPr>
          <w:p w:rsidR="00000000" w:rsidRDefault="00BC67ED">
            <w:pPr>
              <w:jc w:val="right"/>
              <w:rPr>
                <w:rFonts w:ascii="Arial" w:hAnsi="Arial" w:cs="Arial"/>
              </w:rPr>
            </w:pPr>
            <w:r>
              <w:rPr>
                <w:rFonts w:ascii="Arial" w:hAnsi="Arial" w:cs="Arial"/>
              </w:rPr>
              <w:t>8</w:t>
            </w:r>
          </w:p>
        </w:tc>
        <w:tc>
          <w:tcPr>
            <w:tcW w:w="2288" w:type="dxa"/>
            <w:noWrap/>
            <w:vAlign w:val="bottom"/>
          </w:tcPr>
          <w:p w:rsidR="00000000" w:rsidRDefault="00BC67ED">
            <w:pPr>
              <w:jc w:val="right"/>
              <w:rPr>
                <w:rFonts w:ascii="Arial" w:hAnsi="Arial" w:cs="Arial"/>
              </w:rPr>
            </w:pPr>
            <w:r>
              <w:rPr>
                <w:rFonts w:ascii="Arial" w:hAnsi="Arial" w:cs="Arial"/>
              </w:rPr>
              <w:t>112</w:t>
            </w:r>
          </w:p>
        </w:tc>
        <w:tc>
          <w:tcPr>
            <w:tcW w:w="914" w:type="dxa"/>
            <w:noWrap/>
            <w:vAlign w:val="bottom"/>
          </w:tcPr>
          <w:p w:rsidR="00000000" w:rsidRDefault="00BC67ED">
            <w:pPr>
              <w:jc w:val="right"/>
              <w:rPr>
                <w:rFonts w:ascii="Arial" w:hAnsi="Arial" w:cs="Arial"/>
              </w:rPr>
            </w:pPr>
            <w:r>
              <w:rPr>
                <w:rFonts w:ascii="Arial" w:hAnsi="Arial" w:cs="Arial"/>
              </w:rPr>
              <w:t>120</w:t>
            </w:r>
          </w:p>
        </w:tc>
      </w:tr>
    </w:tbl>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tbl>
      <w:tblPr>
        <w:tblpPr w:leftFromText="141" w:rightFromText="141" w:vertAnchor="page" w:horzAnchor="page" w:tblpX="3639" w:tblpY="5869"/>
        <w:tblW w:w="7271" w:type="dxa"/>
        <w:tblCellMar>
          <w:left w:w="70" w:type="dxa"/>
          <w:right w:w="70" w:type="dxa"/>
        </w:tblCellMar>
        <w:tblLook w:val="0000"/>
      </w:tblPr>
      <w:tblGrid>
        <w:gridCol w:w="1781"/>
        <w:gridCol w:w="2288"/>
        <w:gridCol w:w="2288"/>
        <w:gridCol w:w="914"/>
      </w:tblGrid>
      <w:tr w:rsidR="00000000">
        <w:trPr>
          <w:trHeight w:val="360"/>
        </w:trPr>
        <w:tc>
          <w:tcPr>
            <w:tcW w:w="406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Fila</w:t>
            </w:r>
          </w:p>
        </w:tc>
        <w:tc>
          <w:tcPr>
            <w:tcW w:w="2288" w:type="dxa"/>
            <w:tcBorders>
              <w:top w:val="nil"/>
              <w:left w:val="nil"/>
              <w:bottom w:val="single" w:sz="4" w:space="0" w:color="auto"/>
              <w:right w:val="nil"/>
            </w:tcBorders>
            <w:noWrap/>
            <w:vAlign w:val="bottom"/>
          </w:tcPr>
          <w:p w:rsidR="00000000" w:rsidRDefault="00BC67ED">
            <w:pPr>
              <w:rPr>
                <w:rFonts w:ascii="Arial" w:hAnsi="Arial" w:cs="Arial"/>
              </w:rPr>
            </w:pPr>
          </w:p>
        </w:tc>
        <w:tc>
          <w:tcPr>
            <w:tcW w:w="914"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tc>
        <w:tc>
          <w:tcPr>
            <w:tcW w:w="228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Ingesta</w:t>
            </w:r>
          </w:p>
          <w:p w:rsidR="00000000" w:rsidRDefault="00BC67ED">
            <w:pPr>
              <w:jc w:val="center"/>
              <w:rPr>
                <w:rFonts w:ascii="Arial" w:hAnsi="Arial" w:cs="Arial"/>
                <w:b/>
                <w:bCs/>
              </w:rPr>
            </w:pPr>
            <w:r>
              <w:rPr>
                <w:rFonts w:ascii="Arial" w:hAnsi="Arial" w:cs="Arial"/>
                <w:b/>
                <w:bCs/>
              </w:rPr>
              <w:t>Cáustico Positivo</w:t>
            </w:r>
          </w:p>
        </w:tc>
        <w:tc>
          <w:tcPr>
            <w:tcW w:w="2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Ingesta</w:t>
            </w:r>
          </w:p>
          <w:p w:rsidR="00000000" w:rsidRDefault="00BC67ED">
            <w:pPr>
              <w:jc w:val="center"/>
              <w:rPr>
                <w:rFonts w:ascii="Arial" w:hAnsi="Arial" w:cs="Arial"/>
                <w:b/>
                <w:bCs/>
              </w:rPr>
            </w:pPr>
            <w:r>
              <w:rPr>
                <w:rFonts w:ascii="Arial" w:hAnsi="Arial" w:cs="Arial"/>
                <w:b/>
                <w:bCs/>
              </w:rPr>
              <w:t>Cáustico Positivo</w:t>
            </w:r>
          </w:p>
        </w:tc>
        <w:tc>
          <w:tcPr>
            <w:tcW w:w="914"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Tot</w:t>
            </w:r>
            <w:r>
              <w:rPr>
                <w:rFonts w:ascii="Arial" w:hAnsi="Arial" w:cs="Arial"/>
                <w:b/>
                <w:bCs/>
                <w:i/>
                <w:iCs/>
              </w:rPr>
              <w:t xml:space="preserve">al </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ADK Positivo</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3,225</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96,774</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ADK Negativo</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7,865</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92,134</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6,666</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93,333</w:t>
            </w:r>
          </w:p>
        </w:tc>
        <w:tc>
          <w:tcPr>
            <w:tcW w:w="914"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tbl>
      <w:tblPr>
        <w:tblpPr w:leftFromText="141" w:rightFromText="141" w:vertAnchor="page" w:horzAnchor="page" w:tblpX="3639" w:tblpY="8209"/>
        <w:tblW w:w="7365" w:type="dxa"/>
        <w:tblCellMar>
          <w:left w:w="70" w:type="dxa"/>
          <w:right w:w="70" w:type="dxa"/>
        </w:tblCellMar>
        <w:tblLook w:val="0000"/>
      </w:tblPr>
      <w:tblGrid>
        <w:gridCol w:w="1781"/>
        <w:gridCol w:w="2288"/>
        <w:gridCol w:w="2288"/>
        <w:gridCol w:w="1008"/>
      </w:tblGrid>
      <w:tr w:rsidR="00000000">
        <w:trPr>
          <w:trHeight w:val="360"/>
        </w:trPr>
        <w:tc>
          <w:tcPr>
            <w:tcW w:w="406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BC67ED">
            <w:pPr>
              <w:jc w:val="center"/>
              <w:rPr>
                <w:rFonts w:ascii="Arial" w:hAnsi="Arial" w:cs="Arial"/>
                <w:b/>
                <w:bCs/>
              </w:rPr>
            </w:pPr>
            <w:r>
              <w:rPr>
                <w:rFonts w:ascii="Arial" w:hAnsi="Arial" w:cs="Arial"/>
                <w:b/>
                <w:bCs/>
              </w:rPr>
              <w:t>Perfiles Columna</w:t>
            </w:r>
          </w:p>
        </w:tc>
        <w:tc>
          <w:tcPr>
            <w:tcW w:w="2288" w:type="dxa"/>
            <w:tcBorders>
              <w:top w:val="nil"/>
              <w:left w:val="nil"/>
              <w:bottom w:val="single" w:sz="4" w:space="0" w:color="auto"/>
              <w:right w:val="nil"/>
            </w:tcBorders>
            <w:noWrap/>
            <w:vAlign w:val="bottom"/>
          </w:tcPr>
          <w:p w:rsidR="00000000" w:rsidRDefault="00BC67ED">
            <w:pPr>
              <w:rPr>
                <w:rFonts w:ascii="Arial" w:hAnsi="Arial" w:cs="Arial"/>
              </w:rPr>
            </w:pPr>
          </w:p>
        </w:tc>
        <w:tc>
          <w:tcPr>
            <w:tcW w:w="1008" w:type="dxa"/>
            <w:tcBorders>
              <w:top w:val="nil"/>
              <w:left w:val="nil"/>
              <w:bottom w:val="single" w:sz="4" w:space="0" w:color="auto"/>
              <w:right w:val="nil"/>
            </w:tcBorders>
            <w:noWrap/>
            <w:vAlign w:val="bottom"/>
          </w:tcPr>
          <w:p w:rsidR="00000000" w:rsidRDefault="00BC67ED">
            <w:pPr>
              <w:rPr>
                <w:rFonts w:ascii="Arial" w:hAnsi="Arial" w:cs="Arial"/>
              </w:rPr>
            </w:pP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ADK</w:t>
            </w:r>
          </w:p>
        </w:tc>
        <w:tc>
          <w:tcPr>
            <w:tcW w:w="2288" w:type="dxa"/>
            <w:tcBorders>
              <w:top w:val="nil"/>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Ingesta</w:t>
            </w:r>
          </w:p>
          <w:p w:rsidR="00000000" w:rsidRDefault="00BC67ED">
            <w:pPr>
              <w:jc w:val="center"/>
              <w:rPr>
                <w:rFonts w:ascii="Arial" w:hAnsi="Arial" w:cs="Arial"/>
                <w:b/>
                <w:bCs/>
              </w:rPr>
            </w:pPr>
            <w:r>
              <w:rPr>
                <w:rFonts w:ascii="Arial" w:hAnsi="Arial" w:cs="Arial"/>
                <w:b/>
                <w:bCs/>
              </w:rPr>
              <w:t>Cáustico Positivo</w:t>
            </w:r>
          </w:p>
        </w:tc>
        <w:tc>
          <w:tcPr>
            <w:tcW w:w="228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rPr>
            </w:pPr>
            <w:r>
              <w:rPr>
                <w:rFonts w:ascii="Arial" w:hAnsi="Arial" w:cs="Arial"/>
                <w:b/>
                <w:bCs/>
              </w:rPr>
              <w:t xml:space="preserve">Ingesta </w:t>
            </w:r>
          </w:p>
          <w:p w:rsidR="00000000" w:rsidRDefault="00BC67ED">
            <w:pPr>
              <w:jc w:val="center"/>
              <w:rPr>
                <w:rFonts w:ascii="Arial" w:hAnsi="Arial" w:cs="Arial"/>
                <w:b/>
                <w:bCs/>
              </w:rPr>
            </w:pPr>
            <w:r>
              <w:rPr>
                <w:rFonts w:ascii="Arial" w:hAnsi="Arial" w:cs="Arial"/>
                <w:b/>
                <w:bCs/>
              </w:rPr>
              <w:t>Cáustico Positivo</w:t>
            </w:r>
          </w:p>
        </w:tc>
        <w:tc>
          <w:tcPr>
            <w:tcW w:w="1008" w:type="dxa"/>
            <w:tcBorders>
              <w:top w:val="single" w:sz="4" w:space="0" w:color="auto"/>
              <w:left w:val="nil"/>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ADK Positivo</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12,5</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26,7857</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25,833</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rPr>
                <w:rFonts w:ascii="Arial" w:hAnsi="Arial" w:cs="Arial"/>
                <w:i/>
                <w:iCs/>
              </w:rPr>
            </w:pPr>
            <w:r>
              <w:rPr>
                <w:rFonts w:ascii="Arial" w:hAnsi="Arial" w:cs="Arial"/>
                <w:i/>
                <w:iCs/>
              </w:rPr>
              <w:t>ADK Negativo</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87,5</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73,2143</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74,167</w:t>
            </w:r>
          </w:p>
        </w:tc>
      </w:tr>
      <w:tr w:rsidR="00000000">
        <w:trPr>
          <w:trHeight w:val="255"/>
        </w:trPr>
        <w:tc>
          <w:tcPr>
            <w:tcW w:w="1781" w:type="dxa"/>
            <w:tcBorders>
              <w:top w:val="nil"/>
              <w:left w:val="single" w:sz="4" w:space="0" w:color="auto"/>
              <w:bottom w:val="single" w:sz="4" w:space="0" w:color="auto"/>
              <w:right w:val="single" w:sz="4" w:space="0" w:color="auto"/>
            </w:tcBorders>
            <w:noWrap/>
            <w:vAlign w:val="bottom"/>
          </w:tcPr>
          <w:p w:rsidR="00000000" w:rsidRDefault="00BC67ED">
            <w:pPr>
              <w:jc w:val="center"/>
              <w:rPr>
                <w:rFonts w:ascii="Arial" w:hAnsi="Arial" w:cs="Arial"/>
                <w:b/>
                <w:bCs/>
                <w:i/>
                <w:iCs/>
              </w:rPr>
            </w:pPr>
            <w:r>
              <w:rPr>
                <w:rFonts w:ascii="Arial" w:hAnsi="Arial" w:cs="Arial"/>
                <w:b/>
                <w:bCs/>
                <w:i/>
                <w:iCs/>
              </w:rPr>
              <w:t xml:space="preserve">Total </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228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c>
          <w:tcPr>
            <w:tcW w:w="1008" w:type="dxa"/>
            <w:tcBorders>
              <w:top w:val="nil"/>
              <w:left w:val="nil"/>
              <w:bottom w:val="single" w:sz="4" w:space="0" w:color="auto"/>
              <w:right w:val="single" w:sz="4" w:space="0" w:color="auto"/>
            </w:tcBorders>
            <w:noWrap/>
            <w:vAlign w:val="bottom"/>
          </w:tcPr>
          <w:p w:rsidR="00000000" w:rsidRDefault="00BC67ED">
            <w:pPr>
              <w:jc w:val="right"/>
              <w:rPr>
                <w:rFonts w:ascii="Arial" w:hAnsi="Arial" w:cs="Arial"/>
              </w:rPr>
            </w:pPr>
            <w:r>
              <w:rPr>
                <w:rFonts w:ascii="Arial" w:hAnsi="Arial" w:cs="Arial"/>
              </w:rPr>
              <w:t>100</w:t>
            </w:r>
          </w:p>
        </w:tc>
      </w:tr>
    </w:tbl>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480" w:lineRule="auto"/>
        <w:ind w:left="1416"/>
        <w:jc w:val="center"/>
        <w:rPr>
          <w:rFonts w:ascii="Arial" w:hAnsi="Arial" w:cs="Arial"/>
          <w:b/>
        </w:rPr>
      </w:pPr>
    </w:p>
    <w:p w:rsidR="00000000" w:rsidRDefault="00BC67ED">
      <w:pPr>
        <w:spacing w:line="360" w:lineRule="auto"/>
        <w:ind w:left="708"/>
        <w:jc w:val="center"/>
        <w:rPr>
          <w:rFonts w:ascii="Arial" w:hAnsi="Arial" w:cs="Arial"/>
          <w:b/>
        </w:rPr>
      </w:pPr>
      <w:r>
        <w:rPr>
          <w:rFonts w:ascii="Arial" w:hAnsi="Arial" w:cs="Arial"/>
          <w:b/>
        </w:rPr>
        <w:t>FIGURA 4-10</w:t>
      </w:r>
    </w:p>
    <w:p w:rsidR="00000000" w:rsidRDefault="00BC67ED">
      <w:pPr>
        <w:ind w:left="708"/>
        <w:jc w:val="center"/>
        <w:rPr>
          <w:rFonts w:ascii="Arial" w:hAnsi="Arial" w:cs="Arial"/>
          <w:b/>
          <w:caps/>
        </w:rPr>
      </w:pPr>
      <w:r>
        <w:rPr>
          <w:rFonts w:ascii="Arial" w:hAnsi="Arial" w:cs="Arial"/>
          <w:b/>
          <w:caps/>
        </w:rPr>
        <w:lastRenderedPageBreak/>
        <w:t>Gráfico de Correspondencias</w:t>
      </w:r>
    </w:p>
    <w:p w:rsidR="00000000" w:rsidRDefault="00BC67ED">
      <w:pPr>
        <w:ind w:left="708"/>
        <w:jc w:val="center"/>
        <w:rPr>
          <w:rFonts w:ascii="Arial" w:hAnsi="Arial" w:cs="Arial"/>
          <w:b/>
          <w:caps/>
        </w:rPr>
      </w:pPr>
      <w:r>
        <w:rPr>
          <w:rFonts w:ascii="Arial" w:hAnsi="Arial" w:cs="Arial"/>
          <w:b/>
          <w:caps/>
        </w:rPr>
        <w:t>Ingesta Cáustico vs. ADK</w:t>
      </w:r>
    </w:p>
    <w:p w:rsidR="00000000" w:rsidRDefault="00BC67ED">
      <w:pPr>
        <w:ind w:left="708"/>
        <w:jc w:val="center"/>
        <w:rPr>
          <w:rFonts w:ascii="Arial" w:hAnsi="Arial" w:cs="Arial"/>
          <w:b/>
          <w:caps/>
        </w:rPr>
      </w:pPr>
      <w:r>
        <w:rPr>
          <w:rFonts w:ascii="Arial" w:hAnsi="Arial" w:cs="Arial"/>
          <w:b/>
        </w:rPr>
        <w:t>(Cáncer de Esófago)</w:t>
      </w:r>
    </w:p>
    <w:p w:rsidR="00000000" w:rsidRDefault="00221239">
      <w:pPr>
        <w:spacing w:line="480" w:lineRule="auto"/>
        <w:ind w:left="708"/>
        <w:jc w:val="center"/>
        <w:rPr>
          <w:rFonts w:ascii="Arial" w:hAnsi="Arial" w:cs="Arial"/>
          <w:b/>
        </w:rPr>
      </w:pPr>
      <w:r>
        <w:rPr>
          <w:rFonts w:ascii="Arial" w:hAnsi="Arial" w:cs="Arial"/>
          <w:b/>
          <w:noProof/>
          <w:lang w:val="es-ES" w:eastAsia="es-ES"/>
        </w:rPr>
        <w:drawing>
          <wp:inline distT="0" distB="0" distL="0" distR="0">
            <wp:extent cx="5266690" cy="5069205"/>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0"/>
                    <a:srcRect/>
                    <a:stretch>
                      <a:fillRect/>
                    </a:stretch>
                  </pic:blipFill>
                  <pic:spPr bwMode="auto">
                    <a:xfrm>
                      <a:off x="0" y="0"/>
                      <a:ext cx="5266690" cy="5069205"/>
                    </a:xfrm>
                    <a:prstGeom prst="rect">
                      <a:avLst/>
                    </a:prstGeom>
                    <a:noFill/>
                    <a:ln w="9525">
                      <a:noFill/>
                      <a:miter lim="800000"/>
                      <a:headEnd/>
                      <a:tailEnd/>
                    </a:ln>
                  </pic:spPr>
                </pic:pic>
              </a:graphicData>
            </a:graphic>
          </wp:inline>
        </w:drawing>
      </w:r>
    </w:p>
    <w:p w:rsidR="00000000" w:rsidRDefault="00BC67ED">
      <w:pPr>
        <w:pStyle w:val="Textoindependiente"/>
        <w:spacing w:line="480" w:lineRule="auto"/>
        <w:ind w:left="708"/>
        <w:rPr>
          <w:rFonts w:ascii="Arial" w:hAnsi="Arial"/>
        </w:rPr>
      </w:pPr>
      <w:r>
        <w:rPr>
          <w:rFonts w:ascii="Arial" w:hAnsi="Arial"/>
        </w:rPr>
        <w:t xml:space="preserve">En la figura 4-10 podemos observar las relaciones que existen entre par de variables, los cuales dicen que no existe ninguna relación en que un </w:t>
      </w:r>
      <w:r>
        <w:rPr>
          <w:rFonts w:ascii="Arial" w:hAnsi="Arial"/>
        </w:rPr>
        <w:t>paciente tenga ADK y que tenga ingesta cáustico.</w:t>
      </w:r>
    </w:p>
    <w:p w:rsidR="00000000" w:rsidRDefault="00BC67ED">
      <w:pPr>
        <w:spacing w:line="480" w:lineRule="auto"/>
        <w:ind w:left="720"/>
        <w:jc w:val="center"/>
        <w:rPr>
          <w:rFonts w:ascii="Arial" w:hAnsi="Arial" w:cs="Arial"/>
          <w:b/>
        </w:rPr>
      </w:pPr>
    </w:p>
    <w:p w:rsidR="00000000" w:rsidRDefault="00BC67ED">
      <w:pPr>
        <w:spacing w:line="480" w:lineRule="auto"/>
        <w:ind w:left="720"/>
        <w:jc w:val="center"/>
        <w:rPr>
          <w:rFonts w:ascii="Arial" w:hAnsi="Arial" w:cs="Arial"/>
          <w:b/>
        </w:rPr>
      </w:pPr>
    </w:p>
    <w:p w:rsidR="00000000" w:rsidRDefault="00BC67ED">
      <w:pPr>
        <w:jc w:val="center"/>
        <w:rPr>
          <w:b/>
          <w:bCs/>
        </w:rPr>
        <w:sectPr w:rsidR="00000000">
          <w:headerReference w:type="default" r:id="rId391"/>
          <w:headerReference w:type="first" r:id="rId392"/>
          <w:pgSz w:w="11907" w:h="16840" w:code="9"/>
          <w:pgMar w:top="2268" w:right="1361" w:bottom="2268" w:left="2268" w:header="737" w:footer="851" w:gutter="0"/>
          <w:cols w:space="708"/>
          <w:titlePg/>
          <w:docGrid w:linePitch="360"/>
        </w:sect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rPr>
      </w:pPr>
    </w:p>
    <w:p w:rsidR="00000000" w:rsidRDefault="00BC67ED">
      <w:pPr>
        <w:pStyle w:val="Ttulo"/>
        <w:rPr>
          <w:rFonts w:ascii="Arial" w:hAnsi="Arial" w:cs="Arial"/>
          <w:sz w:val="52"/>
          <w:szCs w:val="52"/>
        </w:rPr>
      </w:pPr>
      <w:r>
        <w:rPr>
          <w:rFonts w:ascii="Arial" w:hAnsi="Arial" w:cs="Arial"/>
          <w:sz w:val="52"/>
          <w:szCs w:val="52"/>
        </w:rPr>
        <w:t>CAPITULO V</w:t>
      </w:r>
    </w:p>
    <w:p w:rsidR="00000000" w:rsidRDefault="00BC67ED">
      <w:pPr>
        <w:rPr>
          <w:rFonts w:ascii="Arial" w:hAnsi="Arial" w:cs="Arial"/>
        </w:rPr>
      </w:pPr>
    </w:p>
    <w:p w:rsidR="00000000" w:rsidRDefault="00BC67ED">
      <w:pPr>
        <w:rPr>
          <w:rFonts w:ascii="Arial" w:hAnsi="Arial" w:cs="Arial"/>
        </w:rPr>
      </w:pPr>
    </w:p>
    <w:p w:rsidR="00000000" w:rsidRDefault="00BC67ED">
      <w:pPr>
        <w:rPr>
          <w:rFonts w:ascii="Arial" w:hAnsi="Arial" w:cs="Arial"/>
        </w:rPr>
      </w:pPr>
    </w:p>
    <w:p w:rsidR="00000000" w:rsidRDefault="00BC67ED">
      <w:pPr>
        <w:rPr>
          <w:rFonts w:ascii="Arial" w:hAnsi="Arial" w:cs="Arial"/>
        </w:rPr>
      </w:pPr>
    </w:p>
    <w:p w:rsidR="00000000" w:rsidRDefault="00BC67ED" w:rsidP="00BC67ED">
      <w:pPr>
        <w:numPr>
          <w:ilvl w:val="0"/>
          <w:numId w:val="40"/>
        </w:numPr>
        <w:spacing w:line="480" w:lineRule="auto"/>
        <w:jc w:val="both"/>
        <w:rPr>
          <w:rFonts w:ascii="Arial" w:hAnsi="Arial" w:cs="Arial"/>
          <w:b/>
          <w:sz w:val="32"/>
          <w:szCs w:val="32"/>
        </w:rPr>
      </w:pPr>
      <w:r>
        <w:rPr>
          <w:rFonts w:ascii="Arial" w:hAnsi="Arial" w:cs="Arial"/>
          <w:b/>
          <w:sz w:val="32"/>
          <w:szCs w:val="32"/>
        </w:rPr>
        <w:t>CONCLUSIONES Y RECOMENDACIONES</w:t>
      </w:r>
    </w:p>
    <w:p w:rsidR="00000000" w:rsidRDefault="00BC67ED">
      <w:pPr>
        <w:tabs>
          <w:tab w:val="left" w:pos="7751"/>
        </w:tabs>
        <w:spacing w:line="480" w:lineRule="auto"/>
        <w:ind w:left="360"/>
        <w:jc w:val="both"/>
        <w:rPr>
          <w:rFonts w:ascii="Arial" w:hAnsi="Arial" w:cs="Arial"/>
        </w:rPr>
      </w:pPr>
      <w:r>
        <w:rPr>
          <w:rFonts w:ascii="Arial" w:hAnsi="Arial" w:cs="Arial"/>
        </w:rPr>
        <w:t>A continuación se presentan las conclusiones y recomendaciones del análisis univariado y multivariado de los pacientes asintomáticos, que se aplicó a l</w:t>
      </w:r>
      <w:r>
        <w:rPr>
          <w:rFonts w:ascii="Arial" w:hAnsi="Arial" w:cs="Arial"/>
        </w:rPr>
        <w:t>as variables cualitativas y cuantitativas concerniente al cáncer de esófago.</w:t>
      </w:r>
    </w:p>
    <w:p w:rsidR="00000000" w:rsidRDefault="00BC67ED">
      <w:pPr>
        <w:tabs>
          <w:tab w:val="left" w:pos="7751"/>
        </w:tabs>
      </w:pPr>
    </w:p>
    <w:p w:rsidR="00000000" w:rsidRDefault="00BC67ED">
      <w:pPr>
        <w:tabs>
          <w:tab w:val="left" w:pos="7751"/>
        </w:tabs>
      </w:pPr>
      <w:r>
        <w:tab/>
      </w:r>
    </w:p>
    <w:p w:rsidR="00000000" w:rsidRDefault="00BC67ED" w:rsidP="00BC67ED">
      <w:pPr>
        <w:numPr>
          <w:ilvl w:val="1"/>
          <w:numId w:val="40"/>
        </w:numPr>
        <w:tabs>
          <w:tab w:val="num" w:pos="540"/>
        </w:tabs>
        <w:spacing w:line="480" w:lineRule="auto"/>
        <w:ind w:left="540" w:hanging="540"/>
        <w:rPr>
          <w:rFonts w:ascii="Arial" w:hAnsi="Arial" w:cs="Arial"/>
          <w:b/>
        </w:rPr>
      </w:pPr>
      <w:r>
        <w:rPr>
          <w:rFonts w:ascii="Arial" w:hAnsi="Arial" w:cs="Arial"/>
          <w:b/>
        </w:rPr>
        <w:t>Conclusiones</w:t>
      </w: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El mayor número de personas que se realizan exámenes, es el genero femenino con el 68.3% del total de pacientes, mientras que el genero masculino ocupa 31.7% resta</w:t>
      </w:r>
      <w:r>
        <w:rPr>
          <w:rFonts w:ascii="Arial" w:hAnsi="Arial" w:cs="Arial"/>
          <w:lang w:val="es-ES_tradnl"/>
        </w:rPr>
        <w:t xml:space="preserve">nte. </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Los pacientes que más se han preocupado en sus chequeos son las que se encuentran en el intervalo de 61 a 68 años con un 26.7% de representación total, seguido de las personas que están en el intervalo de 45 a 52 años con el 23.3% del total de pacie</w:t>
      </w:r>
      <w:r>
        <w:rPr>
          <w:rFonts w:ascii="Arial" w:hAnsi="Arial" w:cs="Arial"/>
          <w:lang w:val="es-ES_tradnl"/>
        </w:rPr>
        <w:t xml:space="preserve">ntes, mientras que el porcentaje restante se distribuye en el resto de los </w:t>
      </w:r>
      <w:r>
        <w:rPr>
          <w:rFonts w:ascii="Arial" w:hAnsi="Arial" w:cs="Arial"/>
          <w:lang w:val="es-ES_tradnl"/>
        </w:rPr>
        <w:lastRenderedPageBreak/>
        <w:t>pacientes, con una marcada preocupación en personas de menor edad.</w:t>
      </w:r>
    </w:p>
    <w:p w:rsidR="00000000" w:rsidRDefault="00BC67ED">
      <w:pPr>
        <w:spacing w:line="480" w:lineRule="auto"/>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Los pacientes  que no fuman constituyen el 53%, mientras que el porcentaje restante lo componen los de mediana fr</w:t>
      </w:r>
      <w:r>
        <w:rPr>
          <w:rFonts w:ascii="Arial" w:hAnsi="Arial" w:cs="Arial"/>
          <w:lang w:val="es-ES_tradnl"/>
        </w:rPr>
        <w:t xml:space="preserve">ecuencia con el 25%, baja frecuencia 13% y gran frecuencia pacientes 10% respectivamente. </w:t>
      </w:r>
    </w:p>
    <w:p w:rsidR="00000000" w:rsidRDefault="00BC67ED">
      <w:pPr>
        <w:spacing w:line="480" w:lineRule="auto"/>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Se ha podido determinar que existen pacientes que no ingieren bebidas alcohólicas las cuales representan el 53% del total de pacientes y que también existen pacient</w:t>
      </w:r>
      <w:r>
        <w:rPr>
          <w:rFonts w:ascii="Arial" w:hAnsi="Arial" w:cs="Arial"/>
          <w:lang w:val="es-ES_tradnl"/>
        </w:rPr>
        <w:t>es que tienen un consumo leve, moderado y grave, representados por el 25%, 4% y 18% respectivamente.</w:t>
      </w:r>
    </w:p>
    <w:p w:rsidR="00000000" w:rsidRDefault="00BC67ED">
      <w:pPr>
        <w:jc w:val="both"/>
        <w:rPr>
          <w:rFonts w:ascii="Arial" w:hAnsi="Arial" w:cs="Arial"/>
          <w:lang w:val="es-ES_tradnl"/>
        </w:rPr>
      </w:pP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Nuestro estudio nos ha permitido detectar que el 83.3% de los pacientes no tienen una dieta dirigida y que existen pacientes que lo hacen a veces, casi s</w:t>
      </w:r>
      <w:r>
        <w:rPr>
          <w:rFonts w:ascii="Arial" w:hAnsi="Arial" w:cs="Arial"/>
          <w:lang w:val="es-ES_tradnl"/>
        </w:rPr>
        <w:t>iempre o siempre y que representan un 9.2%, 0.8% y 6.7% respectivamente.</w:t>
      </w:r>
    </w:p>
    <w:p w:rsidR="00000000" w:rsidRDefault="00BC67ED">
      <w:pPr>
        <w:jc w:val="both"/>
        <w:rPr>
          <w:rFonts w:ascii="Arial" w:hAnsi="Arial" w:cs="Arial"/>
          <w:lang w:val="es-ES_tradnl"/>
        </w:rPr>
      </w:pP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 xml:space="preserve">En cuanto al consumo de estupefacientes el 99.2% no usa estupefacientes pero si existe un porcentaje bajo del 0.8% que lo hace casi siempre. </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 xml:space="preserve">En cuanto número de pacientes obesos, </w:t>
      </w:r>
      <w:r>
        <w:rPr>
          <w:rFonts w:ascii="Arial" w:hAnsi="Arial" w:cs="Arial"/>
          <w:lang w:val="es-ES_tradnl"/>
        </w:rPr>
        <w:t xml:space="preserve">el 85.8% de pacientes no es obeso y el 14.2% si lo es. </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con hipertensión controlada, el 67% de pacientes no ha controlado su hipertensión, mientras que el 33% si lo hace.</w:t>
      </w:r>
    </w:p>
    <w:p w:rsidR="00000000" w:rsidRDefault="00BC67ED">
      <w:pPr>
        <w:ind w:left="539"/>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 xml:space="preserve">En cuanto número de pacientes que sufre de alergias, </w:t>
      </w:r>
      <w:r>
        <w:rPr>
          <w:rFonts w:ascii="Arial" w:hAnsi="Arial" w:cs="Arial"/>
          <w:lang w:val="es-ES_tradnl"/>
        </w:rPr>
        <w:t>el 93% de pacientes no sufre de alergias, mientras que el 7% si sufre de alergias.</w:t>
      </w:r>
    </w:p>
    <w:p w:rsidR="00000000" w:rsidRDefault="00BC67ED">
      <w:pPr>
        <w:ind w:left="540"/>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padecen de ingesta cáustico, el 93% de pacientes no padecen de ingesta cáustico, mientras que el 7% si padecen de ingesta cáustico.</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w:t>
      </w:r>
      <w:r>
        <w:rPr>
          <w:rFonts w:ascii="Arial" w:hAnsi="Arial" w:cs="Arial"/>
          <w:lang w:val="es-ES_tradnl"/>
        </w:rPr>
        <w:t>anto número de pacientes que han ingerido medicinas que le pueden causar daños, el 80% de pacientes no lo ha hecho, mientras que el 20% si ha ingerido medicinas.</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padecen de esófago de barret, el 96.7% de pacientes no pade</w:t>
      </w:r>
      <w:r>
        <w:rPr>
          <w:rFonts w:ascii="Arial" w:hAnsi="Arial" w:cs="Arial"/>
          <w:lang w:val="es-ES_tradnl"/>
        </w:rPr>
        <w:t>cen de este mal, mientras que el 3.3% si padecen de esófago de barret.</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lastRenderedPageBreak/>
        <w:t>En cuanto número de pacientes que padecen de reflujo gastroesofagico, el 89.2% de pacientes no padecen de este terrible síntoma, mientras que el 10.8% si lo padecen.</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 xml:space="preserve">En cuanto número </w:t>
      </w:r>
      <w:r>
        <w:rPr>
          <w:rFonts w:ascii="Arial" w:hAnsi="Arial" w:cs="Arial"/>
          <w:lang w:val="es-ES_tradnl"/>
        </w:rPr>
        <w:t>de pacientes que padecen de acalasia, el 97.5% de pacientes no padecen de este terrible síntoma, mientras que el 2.5% si lo padecen.</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han padecido enfermedades venéreas, el 95% de pacientes no han tenido esta enfermedad, m</w:t>
      </w:r>
      <w:r>
        <w:rPr>
          <w:rFonts w:ascii="Arial" w:hAnsi="Arial" w:cs="Arial"/>
          <w:lang w:val="es-ES_tradnl"/>
        </w:rPr>
        <w:t>ientras que el 5% si la han tenido.</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se han tenido intervenciones quirúrgicas, el 28% de pacientes nunca se las han realizado, mientras que el 73% si lo ha hecho.</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padecen cáncer epidermoi</w:t>
      </w:r>
      <w:r>
        <w:rPr>
          <w:rFonts w:ascii="Arial" w:hAnsi="Arial" w:cs="Arial"/>
          <w:lang w:val="es-ES_tradnl"/>
        </w:rPr>
        <w:t>de de cabeza y cuello, el 98.3% de pacientes no padecen de este terrible enfermedad, mientras que el 1.7% si lo padece.</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tienen a su madre con cáncer, el 78% de pacientes no tiene a su madre con cáncer, mientras que el 23%</w:t>
      </w:r>
      <w:r>
        <w:rPr>
          <w:rFonts w:ascii="Arial" w:hAnsi="Arial" w:cs="Arial"/>
          <w:lang w:val="es-ES_tradnl"/>
        </w:rPr>
        <w:t xml:space="preserve"> si.</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lastRenderedPageBreak/>
        <w:t>En cuanto número de pacientes que tienen a algún hermano con cáncer, el 85% de pacientes no tiene a hermanos con cáncer, mientras que el 15% si.</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se han realizado la endoscopía, el 23.3% de pacientes no se la han rea</w:t>
      </w:r>
      <w:r>
        <w:rPr>
          <w:rFonts w:ascii="Arial" w:hAnsi="Arial" w:cs="Arial"/>
          <w:lang w:val="es-ES_tradnl"/>
        </w:rPr>
        <w:t>lizado, mientras que el 76.7% si se lo ha realizado.</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 presentaron malignidad negativa, el 85.8% lo presentaron, mientras que el 14.2% de pacientes presentaron hongos, células escamosas y bacterias cocoides, todo esto con r</w:t>
      </w:r>
      <w:r>
        <w:rPr>
          <w:rFonts w:ascii="Arial" w:hAnsi="Arial" w:cs="Arial"/>
          <w:lang w:val="es-ES_tradnl"/>
        </w:rPr>
        <w:t>especto a la citología del paciente.</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la histopatología del paciente, la esofaguitis crónica fue la de mayor porcentaje con un 81.7% del total de pacientes, mientras que el esófago de barret presenta un 9.2% del total.</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cuanto número de pacientes que</w:t>
      </w:r>
      <w:r>
        <w:rPr>
          <w:rFonts w:ascii="Arial" w:hAnsi="Arial" w:cs="Arial"/>
          <w:lang w:val="es-ES_tradnl"/>
        </w:rPr>
        <w:t xml:space="preserve"> sufren ADK, el 74.2% de pacientes no padece de este mal, mientras que el 25.8% si presenta esta enfermedad.</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La primera componente principal denominada “Frecuencia de consumo de alcohol”, explica el 36.5% del total de la variación de la población.</w:t>
      </w:r>
    </w:p>
    <w:p w:rsidR="00000000" w:rsidRDefault="00BC67ED">
      <w:pPr>
        <w:jc w:val="both"/>
        <w:rPr>
          <w:rFonts w:ascii="Arial" w:hAnsi="Arial" w:cs="Arial"/>
          <w:lang w:val="es-ES_tradnl"/>
        </w:rPr>
      </w:pP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La se</w:t>
      </w:r>
      <w:r>
        <w:rPr>
          <w:rFonts w:ascii="Arial" w:hAnsi="Arial" w:cs="Arial"/>
          <w:lang w:val="es-ES_tradnl"/>
        </w:rPr>
        <w:t>gunda componente principal denominada “histología del paciente”, explica el 25.2% del total de la variación de la población.</w:t>
      </w:r>
    </w:p>
    <w:p w:rsidR="00000000" w:rsidRDefault="00BC67ED">
      <w:pPr>
        <w:ind w:left="540"/>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el Gráfico de Cargas nos ayuda a determinar que</w:t>
      </w:r>
      <w:r>
        <w:rPr>
          <w:rFonts w:ascii="Arial" w:hAnsi="Arial" w:cs="Arial"/>
        </w:rPr>
        <w:t xml:space="preserve"> el tabaco y el alcohol se encuentran altamente correlacionadas, de igual manera</w:t>
      </w:r>
      <w:r>
        <w:rPr>
          <w:rFonts w:ascii="Arial" w:hAnsi="Arial" w:cs="Arial"/>
        </w:rPr>
        <w:t xml:space="preserve"> podemos decir que la edad guarda una cercana relación con estos dos males antes señalados y que la unión de estas tres características puede ser motivo de adquirir esta mortal enfermedad, y finalmente la histología no guarda una estrecha correlación con l</w:t>
      </w:r>
      <w:r>
        <w:rPr>
          <w:rFonts w:ascii="Arial" w:hAnsi="Arial" w:cs="Arial"/>
        </w:rPr>
        <w:t>as demás variables en estudio.</w:t>
      </w:r>
      <w:r>
        <w:rPr>
          <w:rFonts w:ascii="Arial" w:hAnsi="Arial" w:cs="Arial"/>
          <w:lang w:val="es-ES_tradnl"/>
        </w:rPr>
        <w:t xml:space="preserve"> </w:t>
      </w:r>
      <w:r>
        <w:rPr>
          <w:rFonts w:ascii="Arial" w:hAnsi="Arial" w:cs="Arial"/>
        </w:rPr>
        <w:t xml:space="preserve">En vista de lo obtenido,  se puede decir que la unión de el tabaco y el alcohol juegan un papel preponderante para contraer de manera temprana el cáncer de esófago además se ha llegado a concluir que si el paciente con mayor </w:t>
      </w:r>
      <w:r>
        <w:rPr>
          <w:rFonts w:ascii="Arial" w:hAnsi="Arial" w:cs="Arial"/>
        </w:rPr>
        <w:t>edad consume alcohol y tabaco, corre el riesgo de adquirir esta mortal enfermedad.</w:t>
      </w:r>
    </w:p>
    <w:p w:rsidR="00000000" w:rsidRDefault="00BC67ED">
      <w:pPr>
        <w:jc w:val="both"/>
        <w:rPr>
          <w:rFonts w:ascii="Arial" w:hAnsi="Arial" w:cs="Arial"/>
          <w:lang w:val="es-ES_tradnl"/>
        </w:rPr>
      </w:pPr>
    </w:p>
    <w:p w:rsidR="00000000" w:rsidRDefault="00BC67ED" w:rsidP="00BC67ED">
      <w:pPr>
        <w:numPr>
          <w:ilvl w:val="0"/>
          <w:numId w:val="38"/>
        </w:numPr>
        <w:tabs>
          <w:tab w:val="clear" w:pos="720"/>
          <w:tab w:val="num" w:pos="900"/>
        </w:tabs>
        <w:spacing w:line="480" w:lineRule="auto"/>
        <w:ind w:left="900"/>
        <w:jc w:val="both"/>
        <w:rPr>
          <w:rFonts w:ascii="Arial" w:hAnsi="Arial" w:cs="Arial"/>
          <w:lang w:val="es-ES_tradnl"/>
        </w:rPr>
      </w:pPr>
      <w:r>
        <w:rPr>
          <w:rFonts w:ascii="Arial" w:hAnsi="Arial" w:cs="Arial"/>
          <w:lang w:val="es-ES_tradnl"/>
        </w:rPr>
        <w:t>Usando el análisis de correspondencias nos ayudad a clarificar algunos aspectos importantes entre ellos:</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t xml:space="preserve"> El hecho de consumir tabaco con gran frecuencia no es determinante</w:t>
      </w:r>
      <w:r>
        <w:rPr>
          <w:rFonts w:ascii="Arial" w:hAnsi="Arial" w:cs="Arial"/>
          <w:lang w:val="es-ES_tradnl"/>
        </w:rPr>
        <w:t xml:space="preserve"> para adquirir esófago de barret;</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t>Además esta técnica nos permitió descubrir que, de cierta manera, un adicto procura, no contraer enfermedades venéreas;</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lastRenderedPageBreak/>
        <w:t>También se a logrado verificar que la no existencia de esófago de barret conlleva a la no existencia d</w:t>
      </w:r>
      <w:r>
        <w:rPr>
          <w:rFonts w:ascii="Arial" w:hAnsi="Arial" w:cs="Arial"/>
          <w:lang w:val="es-ES_tradnl"/>
        </w:rPr>
        <w:t>e cáncer de esófago;</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t>Una persona que es obesa tiene la tendencia a padecer de esófago de barret;</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t>Las personas que no tienen una dieta dirigida están más expuestos a contraer el ADK; y</w:t>
      </w:r>
    </w:p>
    <w:p w:rsidR="00000000" w:rsidRDefault="00BC67ED" w:rsidP="00BC67ED">
      <w:pPr>
        <w:numPr>
          <w:ilvl w:val="1"/>
          <w:numId w:val="38"/>
        </w:numPr>
        <w:spacing w:line="480" w:lineRule="auto"/>
        <w:jc w:val="both"/>
        <w:rPr>
          <w:rFonts w:ascii="Arial" w:hAnsi="Arial" w:cs="Arial"/>
          <w:lang w:val="es-ES_tradnl"/>
        </w:rPr>
      </w:pPr>
      <w:r>
        <w:rPr>
          <w:rFonts w:ascii="Arial" w:hAnsi="Arial" w:cs="Arial"/>
          <w:lang w:val="es-ES_tradnl"/>
        </w:rPr>
        <w:t>Finalmente no existe relación entre un paciente que tenga ingesta cáusti</w:t>
      </w:r>
      <w:r>
        <w:rPr>
          <w:rFonts w:ascii="Arial" w:hAnsi="Arial" w:cs="Arial"/>
          <w:lang w:val="es-ES_tradnl"/>
        </w:rPr>
        <w:t>co y un paciente que padezca de ADK.</w:t>
      </w:r>
    </w:p>
    <w:p w:rsidR="00000000" w:rsidRDefault="00BC67ED">
      <w:pPr>
        <w:ind w:left="539"/>
        <w:jc w:val="both"/>
        <w:rPr>
          <w:rFonts w:ascii="Arial" w:hAnsi="Arial" w:cs="Arial"/>
        </w:rPr>
      </w:pPr>
    </w:p>
    <w:p w:rsidR="00000000" w:rsidRDefault="00BC67ED">
      <w:pPr>
        <w:ind w:left="539"/>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pPr>
        <w:spacing w:line="480" w:lineRule="auto"/>
        <w:jc w:val="both"/>
        <w:rPr>
          <w:rFonts w:ascii="Arial" w:hAnsi="Arial" w:cs="Arial"/>
          <w:lang w:val="es-ES_tradnl"/>
        </w:rPr>
      </w:pPr>
    </w:p>
    <w:p w:rsidR="00000000" w:rsidRDefault="00BC67ED" w:rsidP="00BC67ED">
      <w:pPr>
        <w:numPr>
          <w:ilvl w:val="1"/>
          <w:numId w:val="40"/>
        </w:numPr>
        <w:tabs>
          <w:tab w:val="num" w:pos="540"/>
        </w:tabs>
        <w:spacing w:line="480" w:lineRule="auto"/>
        <w:ind w:left="540" w:hanging="540"/>
        <w:rPr>
          <w:rFonts w:ascii="Arial" w:hAnsi="Arial" w:cs="Arial"/>
          <w:b/>
        </w:rPr>
      </w:pPr>
      <w:r>
        <w:rPr>
          <w:rFonts w:ascii="Arial" w:hAnsi="Arial" w:cs="Arial"/>
          <w:b/>
        </w:rPr>
        <w:lastRenderedPageBreak/>
        <w:t>Recomendaciones</w:t>
      </w:r>
    </w:p>
    <w:p w:rsidR="00000000" w:rsidRDefault="00BC67ED" w:rsidP="00BC67ED">
      <w:pPr>
        <w:numPr>
          <w:ilvl w:val="0"/>
          <w:numId w:val="39"/>
        </w:numPr>
        <w:tabs>
          <w:tab w:val="clear" w:pos="720"/>
          <w:tab w:val="num" w:pos="900"/>
        </w:tabs>
        <w:spacing w:line="480" w:lineRule="auto"/>
        <w:ind w:left="900"/>
        <w:jc w:val="both"/>
        <w:rPr>
          <w:rFonts w:ascii="Arial" w:hAnsi="Arial" w:cs="Arial"/>
          <w:lang w:val="es-ES_tradnl"/>
        </w:rPr>
      </w:pPr>
      <w:r>
        <w:rPr>
          <w:rFonts w:ascii="Arial" w:hAnsi="Arial" w:cs="Arial"/>
          <w:lang w:val="es-ES_tradnl"/>
        </w:rPr>
        <w:t>Se recomienda a SOLCA una mayor difusión de información acerca de esta mortal y silenciosa enfermedad. De esa manera poder prevenir, por medio de chequeos continuos que permitan dar  diagn</w:t>
      </w:r>
      <w:r>
        <w:rPr>
          <w:rFonts w:ascii="Arial" w:hAnsi="Arial" w:cs="Arial"/>
          <w:lang w:val="es-ES_tradnl"/>
        </w:rPr>
        <w:t>ósticos oportunos.</w:t>
      </w:r>
    </w:p>
    <w:p w:rsidR="00000000" w:rsidRDefault="00BC67ED">
      <w:pPr>
        <w:jc w:val="both"/>
        <w:rPr>
          <w:rFonts w:ascii="Arial" w:hAnsi="Arial" w:cs="Arial"/>
          <w:lang w:val="es-ES_tradnl"/>
        </w:rPr>
      </w:pPr>
    </w:p>
    <w:p w:rsidR="00000000" w:rsidRDefault="00BC67ED" w:rsidP="00BC67ED">
      <w:pPr>
        <w:numPr>
          <w:ilvl w:val="0"/>
          <w:numId w:val="39"/>
        </w:numPr>
        <w:tabs>
          <w:tab w:val="clear" w:pos="720"/>
          <w:tab w:val="num" w:pos="900"/>
        </w:tabs>
        <w:spacing w:line="480" w:lineRule="auto"/>
        <w:ind w:left="900"/>
        <w:jc w:val="both"/>
        <w:rPr>
          <w:rFonts w:ascii="Arial" w:hAnsi="Arial" w:cs="Arial"/>
          <w:lang w:val="es-ES_tradnl"/>
        </w:rPr>
      </w:pPr>
      <w:r>
        <w:rPr>
          <w:rFonts w:ascii="Arial" w:hAnsi="Arial" w:cs="Arial"/>
          <w:lang w:val="es-ES_tradnl"/>
        </w:rPr>
        <w:t xml:space="preserve">Realizar al momento del ingreso del paciente una endoscopia para saber si tiene problemas esofágicos o no, para así tratarlo a tiempo. </w:t>
      </w:r>
    </w:p>
    <w:p w:rsidR="00000000" w:rsidRDefault="00BC67ED">
      <w:pPr>
        <w:ind w:left="539"/>
        <w:jc w:val="both"/>
        <w:rPr>
          <w:rFonts w:ascii="Arial" w:hAnsi="Arial" w:cs="Arial"/>
          <w:lang w:val="es-ES_tradnl"/>
        </w:rPr>
      </w:pPr>
    </w:p>
    <w:p w:rsidR="00000000" w:rsidRDefault="00BC67ED" w:rsidP="00BC67ED">
      <w:pPr>
        <w:numPr>
          <w:ilvl w:val="0"/>
          <w:numId w:val="39"/>
        </w:numPr>
        <w:tabs>
          <w:tab w:val="clear" w:pos="720"/>
          <w:tab w:val="num" w:pos="900"/>
        </w:tabs>
        <w:spacing w:line="480" w:lineRule="auto"/>
        <w:ind w:left="900"/>
        <w:jc w:val="both"/>
        <w:rPr>
          <w:rFonts w:ascii="Arial" w:hAnsi="Arial" w:cs="Arial"/>
          <w:lang w:val="es-ES_tradnl"/>
        </w:rPr>
      </w:pPr>
      <w:r>
        <w:rPr>
          <w:rFonts w:ascii="Arial" w:hAnsi="Arial" w:cs="Arial"/>
          <w:lang w:val="es-ES_tradnl"/>
        </w:rPr>
        <w:t>Hacer participar activamente a los estudiantes de los últimos años de medicina para que realicen ex</w:t>
      </w:r>
      <w:r>
        <w:rPr>
          <w:rFonts w:ascii="Arial" w:hAnsi="Arial" w:cs="Arial"/>
          <w:lang w:val="es-ES_tradnl"/>
        </w:rPr>
        <w:t xml:space="preserve">ámenes de este tipo en las zonas con personas de escasos recursos. </w:t>
      </w:r>
    </w:p>
    <w:p w:rsidR="00000000" w:rsidRDefault="00BC67ED">
      <w:pPr>
        <w:jc w:val="both"/>
        <w:rPr>
          <w:rFonts w:ascii="Arial" w:hAnsi="Arial" w:cs="Arial"/>
          <w:lang w:val="es-ES_tradnl"/>
        </w:rPr>
      </w:pPr>
    </w:p>
    <w:p w:rsidR="00000000" w:rsidRDefault="00BC67ED">
      <w:pPr>
        <w:jc w:val="both"/>
        <w:rPr>
          <w:rFonts w:ascii="Arial" w:hAnsi="Arial" w:cs="Arial"/>
          <w:lang w:val="es-ES_tradnl"/>
        </w:rPr>
      </w:pPr>
    </w:p>
    <w:p w:rsidR="00000000" w:rsidRDefault="00BC67ED" w:rsidP="00BC67ED">
      <w:pPr>
        <w:numPr>
          <w:ilvl w:val="0"/>
          <w:numId w:val="39"/>
        </w:numPr>
        <w:tabs>
          <w:tab w:val="clear" w:pos="720"/>
          <w:tab w:val="num" w:pos="900"/>
        </w:tabs>
        <w:spacing w:line="480" w:lineRule="auto"/>
        <w:ind w:left="900"/>
        <w:jc w:val="both"/>
        <w:rPr>
          <w:rFonts w:ascii="Arial" w:hAnsi="Arial" w:cs="Arial"/>
          <w:lang w:val="es-ES_tradnl"/>
        </w:rPr>
      </w:pPr>
      <w:r>
        <w:rPr>
          <w:rFonts w:ascii="Arial" w:hAnsi="Arial" w:cs="Arial"/>
          <w:lang w:val="es-ES_tradnl"/>
        </w:rPr>
        <w:t>Crear un departamento que coordine todas estas actividades a nivel nacional y que lleve las estadísticas de forma eficaz, para así el paciente pueda tener toda la información del caso pa</w:t>
      </w:r>
      <w:r>
        <w:rPr>
          <w:rFonts w:ascii="Arial" w:hAnsi="Arial" w:cs="Arial"/>
          <w:lang w:val="es-ES_tradnl"/>
        </w:rPr>
        <w:t>ra tratar esta enfermedad</w:t>
      </w:r>
    </w:p>
    <w:p w:rsidR="00000000" w:rsidRDefault="00BC67ED">
      <w:pPr>
        <w:jc w:val="both"/>
        <w:rPr>
          <w:rFonts w:ascii="Arial" w:hAnsi="Arial" w:cs="Arial"/>
          <w:lang w:val="es-ES_tradnl"/>
        </w:rPr>
      </w:pPr>
    </w:p>
    <w:p w:rsidR="00000000" w:rsidRDefault="00BC67ED" w:rsidP="00BC67ED">
      <w:pPr>
        <w:numPr>
          <w:ilvl w:val="0"/>
          <w:numId w:val="39"/>
        </w:numPr>
        <w:tabs>
          <w:tab w:val="clear" w:pos="720"/>
          <w:tab w:val="num" w:pos="900"/>
        </w:tabs>
        <w:spacing w:line="480" w:lineRule="auto"/>
        <w:ind w:left="900"/>
        <w:jc w:val="both"/>
        <w:rPr>
          <w:rFonts w:ascii="Arial" w:hAnsi="Arial" w:cs="Arial"/>
          <w:lang w:val="es-ES_tradnl"/>
        </w:rPr>
      </w:pPr>
      <w:r>
        <w:rPr>
          <w:rFonts w:ascii="Arial" w:hAnsi="Arial" w:cs="Arial"/>
          <w:lang w:val="es-ES_tradnl"/>
        </w:rPr>
        <w:t>En vista de lo obtenido,  para futuros estudios SOLCA se puede enfocar primeramente en las dos primeras componentes que son el consumo de alcohol y la histología del paciente las cuales explican el 61.7% del la información de las</w:t>
      </w:r>
      <w:r>
        <w:rPr>
          <w:rFonts w:ascii="Arial" w:hAnsi="Arial" w:cs="Arial"/>
          <w:lang w:val="es-ES_tradnl"/>
        </w:rPr>
        <w:t xml:space="preserve"> variables numéricas.</w:t>
      </w:r>
    </w:p>
    <w:p w:rsidR="00000000" w:rsidRDefault="00BC67ED">
      <w:pPr>
        <w:spacing w:line="480" w:lineRule="auto"/>
        <w:jc w:val="both"/>
        <w:rPr>
          <w:rFonts w:ascii="Arial" w:hAnsi="Arial" w:cs="Arial"/>
          <w:lang w:val="es-ES_tradnl"/>
        </w:rPr>
      </w:pPr>
    </w:p>
    <w:p w:rsidR="00000000" w:rsidRDefault="00BC67ED">
      <w:pPr>
        <w:jc w:val="center"/>
        <w:rPr>
          <w:b/>
          <w:bCs/>
        </w:rPr>
        <w:sectPr w:rsidR="00000000">
          <w:headerReference w:type="first" r:id="rId393"/>
          <w:pgSz w:w="11907" w:h="16840" w:code="9"/>
          <w:pgMar w:top="2268" w:right="1361" w:bottom="2268" w:left="2268" w:header="737" w:footer="851" w:gutter="0"/>
          <w:cols w:space="708"/>
          <w:titlePg/>
          <w:docGrid w:linePitch="360"/>
        </w:sectPr>
      </w:pPr>
    </w:p>
    <w:p w:rsidR="00000000" w:rsidRDefault="00BC67ED">
      <w:pPr>
        <w:jc w:val="center"/>
        <w:rPr>
          <w:b/>
          <w:bCs/>
        </w:rPr>
      </w:pPr>
    </w:p>
    <w:p w:rsidR="00000000" w:rsidRDefault="00BC67ED">
      <w:pPr>
        <w:jc w:val="center"/>
        <w:rPr>
          <w:b/>
          <w:bCs/>
          <w:sz w:val="144"/>
          <w:szCs w:val="144"/>
        </w:rPr>
      </w:pPr>
      <w:r>
        <w:rPr>
          <w:b/>
          <w:bCs/>
          <w:sz w:val="144"/>
          <w:szCs w:val="144"/>
        </w:rPr>
        <w:t>ANEXO</w:t>
      </w:r>
    </w:p>
    <w:p w:rsidR="00000000" w:rsidRDefault="00BC67ED">
      <w:pPr>
        <w:jc w:val="center"/>
        <w:rPr>
          <w:b/>
          <w:bCs/>
        </w:rPr>
        <w:sectPr w:rsidR="00000000">
          <w:headerReference w:type="default" r:id="rId394"/>
          <w:headerReference w:type="first" r:id="rId395"/>
          <w:pgSz w:w="11907" w:h="16840" w:code="9"/>
          <w:pgMar w:top="2268" w:right="1361" w:bottom="2268" w:left="2268" w:header="737" w:footer="851" w:gutter="0"/>
          <w:cols w:space="708"/>
          <w:vAlign w:val="center"/>
          <w:titlePg/>
          <w:docGrid w:linePitch="360"/>
        </w:sectPr>
      </w:pPr>
    </w:p>
    <w:p w:rsidR="00000000" w:rsidRDefault="00BC67ED">
      <w:pPr>
        <w:jc w:val="center"/>
        <w:rPr>
          <w:b/>
          <w:bCs/>
        </w:rPr>
      </w:pPr>
      <w:r>
        <w:rPr>
          <w:b/>
          <w:bCs/>
        </w:rPr>
        <w:lastRenderedPageBreak/>
        <w:t>Calificaciones de todos los Pacientes.</w:t>
      </w:r>
    </w:p>
    <w:p w:rsidR="00000000" w:rsidRDefault="00BC67ED">
      <w:pPr>
        <w:jc w:val="center"/>
        <w:rPr>
          <w:b/>
          <w:bCs/>
        </w:rPr>
      </w:pPr>
    </w:p>
    <w:tbl>
      <w:tblPr>
        <w:tblW w:w="9437" w:type="dxa"/>
        <w:tblCellMar>
          <w:left w:w="0" w:type="dxa"/>
          <w:right w:w="0" w:type="dxa"/>
        </w:tblCellMar>
        <w:tblLook w:val="0000"/>
      </w:tblPr>
      <w:tblGrid>
        <w:gridCol w:w="320"/>
        <w:gridCol w:w="978"/>
        <w:gridCol w:w="978"/>
        <w:gridCol w:w="978"/>
        <w:gridCol w:w="978"/>
        <w:gridCol w:w="360"/>
        <w:gridCol w:w="401"/>
        <w:gridCol w:w="1111"/>
        <w:gridCol w:w="1111"/>
        <w:gridCol w:w="1111"/>
        <w:gridCol w:w="1111"/>
      </w:tblGrid>
      <w:tr w:rsidR="00000000">
        <w:trPr>
          <w:trHeight w:val="255"/>
        </w:trPr>
        <w:tc>
          <w:tcPr>
            <w:tcW w:w="320" w:type="dxa"/>
            <w:tcBorders>
              <w:top w:val="nil"/>
              <w:left w:val="nil"/>
              <w:bottom w:val="nil"/>
              <w:right w:val="nil"/>
            </w:tcBorders>
            <w:shd w:val="pct30" w:color="auto" w:fill="auto"/>
            <w:noWrap/>
            <w:tcMar>
              <w:top w:w="15" w:type="dxa"/>
              <w:left w:w="15" w:type="dxa"/>
              <w:bottom w:w="0" w:type="dxa"/>
              <w:right w:w="15" w:type="dxa"/>
            </w:tcMar>
            <w:vAlign w:val="bottom"/>
          </w:tcPr>
          <w:p w:rsidR="00000000" w:rsidRDefault="00BC67ED">
            <w:pPr>
              <w:rPr>
                <w:rFonts w:ascii="Arial" w:hAnsi="Arial" w:cs="Arial"/>
                <w:b/>
                <w:bCs/>
              </w:rPr>
            </w:pP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Y1</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Y2</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Y3</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Y4</w:t>
            </w:r>
          </w:p>
        </w:tc>
        <w:tc>
          <w:tcPr>
            <w:tcW w:w="360" w:type="dxa"/>
          </w:tcPr>
          <w:p w:rsidR="00000000" w:rsidRDefault="00BC67ED">
            <w:pPr>
              <w:rPr>
                <w:rFonts w:ascii="Arial" w:hAnsi="Arial" w:cs="Arial"/>
                <w:b/>
                <w:bCs/>
              </w:rPr>
            </w:pPr>
          </w:p>
        </w:tc>
        <w:tc>
          <w:tcPr>
            <w:tcW w:w="401" w:type="dxa"/>
            <w:shd w:val="pct30" w:color="auto" w:fill="auto"/>
            <w:vAlign w:val="bottom"/>
          </w:tcPr>
          <w:p w:rsidR="00000000" w:rsidRDefault="00BC67ED">
            <w:pPr>
              <w:rPr>
                <w:rFonts w:ascii="Arial" w:hAnsi="Arial" w:cs="Arial"/>
                <w:b/>
                <w:bCs/>
              </w:rPr>
            </w:pPr>
          </w:p>
        </w:tc>
        <w:tc>
          <w:tcPr>
            <w:tcW w:w="1111"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Y1</w:t>
            </w:r>
          </w:p>
        </w:tc>
        <w:tc>
          <w:tcPr>
            <w:tcW w:w="1111"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Y2</w:t>
            </w:r>
          </w:p>
        </w:tc>
        <w:tc>
          <w:tcPr>
            <w:tcW w:w="1111"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Y3</w:t>
            </w:r>
          </w:p>
        </w:tc>
        <w:tc>
          <w:tcPr>
            <w:tcW w:w="1111"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-2,16678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-0,11762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0,74398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-0,77853</w:t>
            </w:r>
          </w:p>
        </w:tc>
        <w:tc>
          <w:tcPr>
            <w:tcW w:w="360" w:type="dxa"/>
          </w:tcPr>
          <w:p w:rsidR="00000000" w:rsidRDefault="00BC67ED">
            <w:pPr>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39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0,97263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2,83872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-0,08225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0,26258</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0,89500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2,91050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0,16122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0,28195</w:t>
            </w:r>
          </w:p>
        </w:tc>
        <w:tc>
          <w:tcPr>
            <w:tcW w:w="360" w:type="dxa"/>
          </w:tcPr>
          <w:p w:rsidR="00000000" w:rsidRDefault="00BC67ED">
            <w:pPr>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-1,93181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-0,39554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0,52236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1,54092</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0,3896</w:t>
            </w:r>
            <w:r>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2,60085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1,92955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0,33607</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-0,37178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-0,16296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1,27541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1,12235</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0,45192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0,21235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2,28414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0,10459</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0,41422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-0,29095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0,34865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-0,66893</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1,33168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-0,60116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-0,47511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-0,11493</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0,19539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-0,62676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-1,01876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-1,39725</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0,54360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-0,41058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-0,05712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-0,70121</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1,33168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-0,60116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-0,47511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-0,11493</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1,17803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1,09485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-0,35983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0,06737</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-1,07793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-1,18512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-2,15574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1,32786</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1,64539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2,21663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-2,19226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0,09471</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-0,28010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-0,78589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-1,06585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0,31655</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-0,73403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0,17202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2,41157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1,21274</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-1,57164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-0,66793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-1,12257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w:t>
            </w:r>
            <w:r>
              <w:rPr>
                <w:rFonts w:ascii="Arial" w:hAnsi="Arial" w:cs="Arial"/>
                <w:sz w:val="20"/>
                <w:szCs w:val="20"/>
              </w:rPr>
              <w:t>2703</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1,61631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-0,86435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-1,36781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-0,18595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-1,72689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-0,52437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-0,63565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-0,88829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-0,34590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-0,18688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1,19425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1,11589</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49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-1,82720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2,67624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-1,05432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-0,57534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0,71259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0,21012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-0,77045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-0,67140</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-2,33177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-0,56386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-0,27697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0,85779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0,94675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2,8626</w:t>
            </w:r>
            <w:r>
              <w:rPr>
                <w:rFonts w:ascii="Arial" w:hAnsi="Arial" w:cs="Arial"/>
                <w:sz w:val="20"/>
                <w:szCs w:val="20"/>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-0,00109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0,26903</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0,17161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-0,66542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-0,42883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0,98676</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0,58130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0,09272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1,87836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0,07230</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0,73655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-0,05085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1,39144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0,03357</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-0,59300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0,87923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1,27063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-1,12855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1,48694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-0,74472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-0,96204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-0,15367</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-0,71598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-0,20468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-1,42050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2,09244</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-0,435</w:t>
            </w:r>
            <w:r>
              <w:rPr>
                <w:rFonts w:ascii="Arial"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-0,64233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-0,57893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0,35529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-0,69619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-0,34048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-0,27615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-1,95770</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-0,61648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-0,47484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-0,01085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0,40048</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0,78830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-0,09870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1,22913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0,02065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-1,44018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-0,85015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-1,01957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1,41825</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1,59364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2,26448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-2,02995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0,10762</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-1,23318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-1,04156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-1,66881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1,36</w:t>
            </w:r>
            <w:r>
              <w:rPr>
                <w:rFonts w:ascii="Arial" w:hAnsi="Arial" w:cs="Arial"/>
                <w:sz w:val="20"/>
                <w:szCs w:val="20"/>
              </w:rPr>
              <w:t>659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0,60718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0,06879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1,79721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0,06585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1,10200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2,71909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-0,48802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0,23029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1,12468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-0,40975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0,17412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-0,06328</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59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0,86593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-0,17048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0,98567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0,00128</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1,25406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-0,52938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-0,23165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-0,09556</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0,99531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-0,29011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0,57989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-0,03100</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0,47780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0,18842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2,20298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0,09813</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0,81418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-0,12263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1,14798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0,01420</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1,74569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-0,98399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-1,77358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-0,21824</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0,31072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-0,19524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0,67327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-0,64310</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1,38344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-0,64901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-0,63742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-0,12785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-0,59060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-0,49877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-0,09200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0,39403</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1,92682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-1,15147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-2,34167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-0,26343</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0,56947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w:t>
            </w:r>
            <w:r>
              <w:rPr>
                <w:rFonts w:ascii="Arial" w:hAnsi="Arial" w:cs="Arial"/>
                <w:sz w:val="20"/>
                <w:szCs w:val="20"/>
              </w:rPr>
              <w:t>3451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-0,13828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-0,70767</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1,56456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-0,81650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-1,20550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-0,17304</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-0,13890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-0,37830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0,54502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1,06424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1,27993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-0,55331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-0,31280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-0,10202</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0,55974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-1,02432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-1,64615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0,88992</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29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-1,03257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-0,02943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0,77885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-1,87377</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-0,24240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-0,28259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0,86964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1,09006</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w:t>
            </w:r>
            <w:r>
              <w:rPr>
                <w:rFonts w:ascii="Arial" w:hAnsi="Arial" w:cs="Arial"/>
                <w:b/>
                <w:bCs/>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0,89500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2,91050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0,16122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0,28195</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-2,83203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2,46842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-1,49497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0,48761</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1,25406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-0,52938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-0,23165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-0,09556</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69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-0,59060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-0,49877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-0,09200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0,39403</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-0,08715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-0,42615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0,38271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1,05133</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70</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-2,01152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-0,26118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0,25705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-0,81727</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-0,00952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-0,49793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0,13925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1,03196</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0,98317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0,49808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0,43465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0,04401</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1,30581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-0,57723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-0,39396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-0,10848</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-3,10612</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0,39097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-0,08538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0,34007</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1,59044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-0,84043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-1,28666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-0,17950</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-1,41431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-0,87407</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-1,10073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1,41179</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0,99531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-0,29011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0,57989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-0,03100</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0,96943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-0,266</w:t>
            </w:r>
            <w:r>
              <w:rPr>
                <w:rFonts w:ascii="Arial"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0,66105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-0,02454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-0,00952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-0,49793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0,13925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1,03196</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75</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0,74031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0,93113</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-0,78304</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0,58270</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0,89180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-0,19441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0,90451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BC67ED">
            <w:pPr>
              <w:jc w:val="right"/>
              <w:rPr>
                <w:rFonts w:ascii="Arial" w:hAnsi="Arial" w:cs="Arial"/>
                <w:sz w:val="20"/>
                <w:szCs w:val="20"/>
              </w:rPr>
            </w:pPr>
            <w:r>
              <w:rPr>
                <w:rFonts w:ascii="Arial" w:hAnsi="Arial" w:cs="Arial"/>
                <w:sz w:val="20"/>
                <w:szCs w:val="20"/>
              </w:rPr>
              <w:t>-0,00517</w:t>
            </w:r>
          </w:p>
        </w:tc>
        <w:tc>
          <w:tcPr>
            <w:tcW w:w="360" w:type="dxa"/>
          </w:tcPr>
          <w:p w:rsidR="00000000" w:rsidRDefault="00BC67ED">
            <w:pPr>
              <w:jc w:val="right"/>
              <w:rPr>
                <w:rFonts w:ascii="Arial" w:hAnsi="Arial" w:cs="Arial"/>
                <w:b/>
                <w:bCs/>
              </w:rPr>
            </w:pPr>
          </w:p>
        </w:tc>
        <w:tc>
          <w:tcPr>
            <w:tcW w:w="401" w:type="dxa"/>
            <w:tcBorders>
              <w:right w:val="single" w:sz="4" w:space="0" w:color="auto"/>
            </w:tcBorders>
            <w:shd w:val="pct30" w:color="auto" w:fill="auto"/>
            <w:vAlign w:val="bottom"/>
          </w:tcPr>
          <w:p w:rsidR="00000000" w:rsidRDefault="00BC67ED">
            <w:pPr>
              <w:jc w:val="right"/>
              <w:rPr>
                <w:rFonts w:ascii="Arial" w:hAnsi="Arial" w:cs="Arial"/>
                <w:b/>
                <w:bCs/>
              </w:rPr>
            </w:pPr>
            <w:r>
              <w:rPr>
                <w:rFonts w:ascii="Arial" w:hAnsi="Arial" w:cs="Arial"/>
                <w:b/>
                <w:bCs/>
              </w:rPr>
              <w:t>76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-0,28226</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-0,21541</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0,73698</w:t>
            </w:r>
          </w:p>
        </w:tc>
        <w:tc>
          <w:tcPr>
            <w:tcW w:w="0" w:type="auto"/>
            <w:tcBorders>
              <w:top w:val="single" w:sz="4" w:space="0" w:color="auto"/>
              <w:left w:val="single" w:sz="4" w:space="0" w:color="auto"/>
              <w:bottom w:val="single" w:sz="4" w:space="0" w:color="auto"/>
              <w:right w:val="single" w:sz="4" w:space="0" w:color="auto"/>
            </w:tcBorders>
          </w:tcPr>
          <w:p w:rsidR="00000000" w:rsidRDefault="00BC67ED">
            <w:pPr>
              <w:jc w:val="right"/>
              <w:rPr>
                <w:rFonts w:ascii="Arial" w:hAnsi="Arial" w:cs="Arial"/>
                <w:sz w:val="20"/>
                <w:szCs w:val="20"/>
              </w:rPr>
            </w:pPr>
            <w:r>
              <w:rPr>
                <w:rFonts w:ascii="Arial" w:hAnsi="Arial" w:cs="Arial"/>
                <w:sz w:val="20"/>
                <w:szCs w:val="20"/>
              </w:rPr>
              <w:t>-0,08903</w:t>
            </w:r>
          </w:p>
        </w:tc>
      </w:tr>
    </w:tbl>
    <w:p w:rsidR="00000000" w:rsidRDefault="00BC67ED">
      <w:pPr>
        <w:jc w:val="center"/>
        <w:rPr>
          <w:b/>
          <w:bCs/>
        </w:rPr>
      </w:pPr>
      <w:r>
        <w:rPr>
          <w:b/>
          <w:bCs/>
        </w:rPr>
        <w:lastRenderedPageBreak/>
        <w:t>Calificaciones de todos los Pacientes.</w:t>
      </w:r>
    </w:p>
    <w:p w:rsidR="00000000" w:rsidRDefault="00BC67ED">
      <w:pPr>
        <w:jc w:val="center"/>
        <w:rPr>
          <w:b/>
          <w:bCs/>
        </w:rPr>
      </w:pPr>
    </w:p>
    <w:tbl>
      <w:tblPr>
        <w:tblW w:w="9437" w:type="dxa"/>
        <w:tblCellMar>
          <w:left w:w="0" w:type="dxa"/>
          <w:right w:w="0" w:type="dxa"/>
        </w:tblCellMar>
        <w:tblLook w:val="0000"/>
      </w:tblPr>
      <w:tblGrid>
        <w:gridCol w:w="431"/>
        <w:gridCol w:w="978"/>
        <w:gridCol w:w="978"/>
        <w:gridCol w:w="978"/>
        <w:gridCol w:w="978"/>
        <w:gridCol w:w="337"/>
        <w:gridCol w:w="406"/>
        <w:gridCol w:w="1087"/>
        <w:gridCol w:w="1088"/>
        <w:gridCol w:w="1088"/>
        <w:gridCol w:w="1088"/>
      </w:tblGrid>
      <w:tr w:rsidR="00000000">
        <w:trPr>
          <w:trHeight w:val="255"/>
        </w:trPr>
        <w:tc>
          <w:tcPr>
            <w:tcW w:w="431" w:type="dxa"/>
            <w:tcBorders>
              <w:top w:val="nil"/>
              <w:left w:val="nil"/>
              <w:bottom w:val="nil"/>
              <w:right w:val="nil"/>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Y1</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Y2</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Y3</w:t>
            </w:r>
          </w:p>
        </w:tc>
        <w:tc>
          <w:tcPr>
            <w:tcW w:w="978" w:type="dxa"/>
            <w:tcBorders>
              <w:top w:val="nil"/>
              <w:left w:val="nil"/>
              <w:bottom w:val="single" w:sz="4" w:space="0" w:color="auto"/>
              <w:right w:val="nil"/>
            </w:tcBorders>
            <w:shd w:val="pct30" w:color="auto" w:fill="auto"/>
            <w:noWrap/>
            <w:tcMar>
              <w:top w:w="15" w:type="dxa"/>
              <w:left w:w="15" w:type="dxa"/>
              <w:bottom w:w="0" w:type="dxa"/>
              <w:right w:w="15" w:type="dxa"/>
            </w:tcMar>
            <w:vAlign w:val="bottom"/>
          </w:tcPr>
          <w:p w:rsidR="00000000" w:rsidRDefault="00BC67ED">
            <w:pPr>
              <w:jc w:val="center"/>
              <w:rPr>
                <w:rFonts w:ascii="Arial" w:hAnsi="Arial" w:cs="Arial"/>
                <w:b/>
                <w:bCs/>
              </w:rPr>
            </w:pPr>
            <w:r>
              <w:rPr>
                <w:rFonts w:ascii="Arial" w:hAnsi="Arial" w:cs="Arial"/>
                <w:b/>
                <w:bCs/>
              </w:rPr>
              <w:t>Y4</w:t>
            </w:r>
          </w:p>
        </w:tc>
        <w:tc>
          <w:tcPr>
            <w:tcW w:w="337" w:type="dxa"/>
          </w:tcPr>
          <w:p w:rsidR="00000000" w:rsidRDefault="00BC67ED">
            <w:pPr>
              <w:rPr>
                <w:rFonts w:ascii="Arial" w:hAnsi="Arial" w:cs="Arial"/>
                <w:b/>
                <w:bCs/>
              </w:rPr>
            </w:pPr>
          </w:p>
        </w:tc>
        <w:tc>
          <w:tcPr>
            <w:tcW w:w="406" w:type="dxa"/>
            <w:shd w:val="pct30" w:color="auto" w:fill="auto"/>
            <w:vAlign w:val="bottom"/>
          </w:tcPr>
          <w:p w:rsidR="00000000" w:rsidRDefault="00BC67ED">
            <w:pPr>
              <w:rPr>
                <w:rFonts w:ascii="Arial" w:hAnsi="Arial" w:cs="Arial"/>
                <w:b/>
                <w:bCs/>
              </w:rPr>
            </w:pPr>
          </w:p>
        </w:tc>
        <w:tc>
          <w:tcPr>
            <w:tcW w:w="1087"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Y1</w:t>
            </w:r>
          </w:p>
        </w:tc>
        <w:tc>
          <w:tcPr>
            <w:tcW w:w="1088"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Y2</w:t>
            </w:r>
          </w:p>
        </w:tc>
        <w:tc>
          <w:tcPr>
            <w:tcW w:w="1088"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Y3</w:t>
            </w:r>
          </w:p>
        </w:tc>
        <w:tc>
          <w:tcPr>
            <w:tcW w:w="1088" w:type="dxa"/>
            <w:tcBorders>
              <w:bottom w:val="single" w:sz="4" w:space="0" w:color="auto"/>
            </w:tcBorders>
            <w:shd w:val="pct30" w:color="auto" w:fill="auto"/>
            <w:vAlign w:val="bottom"/>
          </w:tcPr>
          <w:p w:rsidR="00000000" w:rsidRDefault="00BC67ED">
            <w:pPr>
              <w:jc w:val="center"/>
              <w:rPr>
                <w:rFonts w:ascii="Arial" w:hAnsi="Arial" w:cs="Arial"/>
                <w:b/>
                <w:bCs/>
              </w:rPr>
            </w:pPr>
            <w:r>
              <w:rPr>
                <w:rFonts w:ascii="Arial" w:hAnsi="Arial" w:cs="Arial"/>
                <w:b/>
                <w:bCs/>
              </w:rPr>
              <w:t>Y4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-0,43751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w:t>
            </w:r>
            <w:r>
              <w:rPr>
                <w:rFonts w:ascii="Arial" w:hAnsi="Arial" w:cs="Arial"/>
                <w:sz w:val="20"/>
                <w:szCs w:val="20"/>
              </w:rPr>
              <w:t>07185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1,22391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-0,05029</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115</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-0,66823</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-0,42699</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0,15146</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0,4134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0,4282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-0,3342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0,56246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0,51662</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116</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-0,07525</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-0,40682</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0,08775</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-0,14068</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0,47995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-0,38206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0,40015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0,50371</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117</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-0,21652</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-0,30652</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0,78848</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1,08361</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0,79206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0,88328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-0,94535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0,56979</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118</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w:t>
            </w:r>
            <w:r>
              <w:rPr>
                <w:rFonts w:ascii="Arial" w:hAnsi="Arial" w:cs="Arial"/>
                <w:sz w:val="20"/>
                <w:szCs w:val="20"/>
              </w:rPr>
              <w:t>,64236</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-0,45091</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0,07031</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0,40694</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-0,55038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-0,39918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-0,17942</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119</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-2,35764</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-0,53994</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-0,19581</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0,86425</w:t>
            </w:r>
          </w:p>
        </w:tc>
      </w:tr>
      <w:tr w:rsidR="00000000">
        <w:trPr>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1,12468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-0,40975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0,17412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-0,06328</w:t>
            </w:r>
          </w:p>
        </w:tc>
        <w:tc>
          <w:tcPr>
            <w:tcW w:w="337" w:type="dxa"/>
          </w:tcPr>
          <w:p w:rsidR="00000000" w:rsidRDefault="00BC67ED">
            <w:pPr>
              <w:rPr>
                <w:rFonts w:ascii="Arial" w:hAnsi="Arial" w:cs="Arial"/>
                <w:b/>
                <w:bCs/>
              </w:rPr>
            </w:pPr>
          </w:p>
        </w:tc>
        <w:tc>
          <w:tcPr>
            <w:tcW w:w="406" w:type="dxa"/>
            <w:tcBorders>
              <w:right w:val="single" w:sz="4" w:space="0" w:color="auto"/>
            </w:tcBorders>
            <w:shd w:val="pct30" w:color="auto" w:fill="auto"/>
            <w:vAlign w:val="bottom"/>
          </w:tcPr>
          <w:p w:rsidR="00000000" w:rsidRDefault="00BC67ED">
            <w:pPr>
              <w:rPr>
                <w:rFonts w:ascii="Arial" w:hAnsi="Arial" w:cs="Arial"/>
                <w:b/>
                <w:bCs/>
              </w:rPr>
            </w:pPr>
            <w:r>
              <w:rPr>
                <w:rFonts w:ascii="Arial" w:hAnsi="Arial" w:cs="Arial"/>
                <w:b/>
                <w:bCs/>
              </w:rPr>
              <w:t>120</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0,79046</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-0,66918</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-0,57371</w:t>
            </w:r>
          </w:p>
        </w:tc>
        <w:tc>
          <w:tcPr>
            <w:tcW w:w="0" w:type="auto"/>
            <w:tcBorders>
              <w:top w:val="single" w:sz="4" w:space="0" w:color="auto"/>
              <w:left w:val="single" w:sz="4" w:space="0" w:color="auto"/>
              <w:bottom w:val="single" w:sz="4" w:space="0" w:color="auto"/>
              <w:right w:val="single" w:sz="4" w:space="0" w:color="auto"/>
            </w:tcBorders>
            <w:vAlign w:val="bottom"/>
          </w:tcPr>
          <w:p w:rsidR="00000000" w:rsidRDefault="00BC67ED">
            <w:pPr>
              <w:jc w:val="right"/>
              <w:rPr>
                <w:rFonts w:ascii="Arial" w:hAnsi="Arial" w:cs="Arial"/>
                <w:sz w:val="20"/>
                <w:szCs w:val="20"/>
              </w:rPr>
            </w:pPr>
            <w:r>
              <w:rPr>
                <w:rFonts w:ascii="Arial" w:hAnsi="Arial" w:cs="Arial"/>
                <w:sz w:val="20"/>
                <w:szCs w:val="20"/>
              </w:rPr>
              <w:t>0,42623</w:t>
            </w: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0,59535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-0,45844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-0,21943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-0,71412</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0,10372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-0,00383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1,3225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w:t>
            </w:r>
            <w:r>
              <w:rPr>
                <w:rFonts w:ascii="Arial" w:hAnsi="Arial" w:cs="Arial"/>
                <w:sz w:val="20"/>
                <w:szCs w:val="20"/>
              </w:rPr>
              <w:t>9145</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0,8918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-0,19441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0,90451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-0,00517</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0,49185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-0,36273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0,10518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-0,6883</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0,94356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-0,24226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0,7422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-0,01809</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-1,34092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-0,31279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-0,05013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-1,39071</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0,01427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-0,45928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-0,45068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-1,35205</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-2,90965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2,5402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-1,25151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0,50698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0,12959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-0,02</w:t>
            </w:r>
            <w:r>
              <w:rPr>
                <w:rFonts w:ascii="Arial" w:hAnsi="Arial" w:cs="Arial"/>
                <w:sz w:val="20"/>
                <w:szCs w:val="20"/>
              </w:rPr>
              <w:t>776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1,24135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-0,59791</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0,16945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-0,09494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1,374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0,58118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0,68696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-0,57347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-0,24909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0,45206</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-0,02031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2,65023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-0,81786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0,13353</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-1,75277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-0,50045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-0,55449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-0,88183</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-1,98565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-0,28511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0,1759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-0,82372</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-0,51506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-0,50797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-0,84423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-2,00289</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0,8541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-0,6977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-1,03098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-0,77869</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99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1,25406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-0,52938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-0,23165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-0,09556</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0,51772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-0,38666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0,02403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-0,69475</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-2,1409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-0,14155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0,66282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-0,78498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1,12468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-0,40975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0,17412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-0,06328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0,63656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1,83435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-0,89864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-0,50847</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0,76243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w:t>
            </w:r>
            <w:r>
              <w:rPr>
                <w:rFonts w:ascii="Arial" w:hAnsi="Arial" w:cs="Arial"/>
                <w:sz w:val="20"/>
                <w:szCs w:val="20"/>
              </w:rPr>
              <w:t>7477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1,31028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0,02711</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-1,90802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-0,35689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-0,06757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-0,84309</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-2,1409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-0,14155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0,66282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-0,78498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-1,98565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-0,28511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0,1759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-0,82372</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-2,88697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-0,58863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-0,58937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0,21341</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-1,29971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-0,72933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-1,18506</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-1,39267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-0,26494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0,11218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w:t>
            </w:r>
            <w:r>
              <w:rPr>
                <w:rFonts w:ascii="Arial" w:hAnsi="Arial" w:cs="Arial"/>
                <w:sz w:val="20"/>
                <w:szCs w:val="20"/>
              </w:rPr>
              <w:t>,3778</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1,20231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-0,48153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-0,06934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-0,08265</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0,8918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-0,19441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0,90451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-0,00517</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0,2331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-0,12346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0,91673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-0,62373</w:t>
            </w:r>
          </w:p>
        </w:tc>
        <w:tc>
          <w:tcPr>
            <w:tcW w:w="337" w:type="dxa"/>
          </w:tcPr>
          <w:p w:rsidR="00000000" w:rsidRDefault="00BC67ED">
            <w:pPr>
              <w:rPr>
                <w:rFonts w:ascii="Arial" w:hAnsi="Arial" w:cs="Arial"/>
                <w:b/>
                <w:bCs/>
              </w:rPr>
            </w:pPr>
          </w:p>
        </w:tc>
      </w:tr>
      <w:tr w:rsidR="00000000">
        <w:trPr>
          <w:gridAfter w:val="5"/>
          <w:wAfter w:w="4757" w:type="dxa"/>
          <w:trHeight w:val="255"/>
        </w:trPr>
        <w:tc>
          <w:tcPr>
            <w:tcW w:w="0" w:type="auto"/>
            <w:tcBorders>
              <w:top w:val="nil"/>
              <w:left w:val="nil"/>
              <w:bottom w:val="nil"/>
              <w:right w:val="single" w:sz="4" w:space="0" w:color="auto"/>
            </w:tcBorders>
            <w:shd w:val="pct30" w:color="auto" w:fill="auto"/>
            <w:noWrap/>
            <w:tcMar>
              <w:top w:w="15" w:type="dxa"/>
              <w:left w:w="15" w:type="dxa"/>
              <w:bottom w:w="0" w:type="dxa"/>
              <w:right w:w="15" w:type="dxa"/>
            </w:tcMar>
            <w:vAlign w:val="bottom"/>
          </w:tcPr>
          <w:p w:rsidR="00000000" w:rsidRDefault="00BC67ED">
            <w:pPr>
              <w:jc w:val="right"/>
              <w:rPr>
                <w:rFonts w:ascii="Arial" w:hAnsi="Arial" w:cs="Arial"/>
                <w:b/>
                <w:bCs/>
              </w:rPr>
            </w:pPr>
            <w:r>
              <w:rPr>
                <w:rFonts w:ascii="Arial" w:hAnsi="Arial" w:cs="Arial"/>
                <w:b/>
                <w:bCs/>
              </w:rPr>
              <w:t>114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-0,26828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-0,25866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0,95079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BC67ED">
            <w:pPr>
              <w:jc w:val="right"/>
              <w:rPr>
                <w:rFonts w:ascii="Arial" w:hAnsi="Arial" w:cs="Arial"/>
                <w:sz w:val="20"/>
                <w:szCs w:val="20"/>
              </w:rPr>
            </w:pPr>
            <w:r>
              <w:rPr>
                <w:rFonts w:ascii="Arial" w:hAnsi="Arial" w:cs="Arial"/>
                <w:sz w:val="20"/>
                <w:szCs w:val="20"/>
              </w:rPr>
              <w:t>1,09652</w:t>
            </w:r>
          </w:p>
        </w:tc>
        <w:tc>
          <w:tcPr>
            <w:tcW w:w="337" w:type="dxa"/>
          </w:tcPr>
          <w:p w:rsidR="00000000" w:rsidRDefault="00BC67ED">
            <w:pPr>
              <w:rPr>
                <w:rFonts w:ascii="Arial" w:hAnsi="Arial" w:cs="Arial"/>
                <w:b/>
                <w:bCs/>
              </w:rPr>
            </w:pPr>
          </w:p>
        </w:tc>
      </w:tr>
    </w:tbl>
    <w:p w:rsidR="00000000" w:rsidRDefault="00BC67ED">
      <w:pPr>
        <w:tabs>
          <w:tab w:val="left" w:pos="431"/>
          <w:tab w:val="left" w:pos="1409"/>
          <w:tab w:val="left" w:pos="2387"/>
          <w:tab w:val="left" w:pos="3365"/>
          <w:tab w:val="left" w:pos="4343"/>
        </w:tabs>
        <w:rPr>
          <w:rFonts w:ascii="Arial" w:hAnsi="Arial" w:cs="Arial"/>
          <w:b/>
          <w:bCs/>
        </w:rPr>
      </w:pPr>
      <w:r>
        <w:rPr>
          <w:rFonts w:ascii="Arial" w:hAnsi="Arial" w:cs="Arial"/>
          <w:sz w:val="20"/>
          <w:szCs w:val="20"/>
        </w:rPr>
        <w:lastRenderedPageBreak/>
        <w:tab/>
      </w:r>
      <w:r>
        <w:rPr>
          <w:rFonts w:ascii="Arial" w:hAnsi="Arial" w:cs="Arial"/>
          <w:sz w:val="20"/>
          <w:szCs w:val="20"/>
        </w:rPr>
        <w:tab/>
      </w:r>
    </w:p>
    <w:p w:rsidR="00BC67ED" w:rsidRDefault="00BC67ED">
      <w:pPr>
        <w:spacing w:line="480" w:lineRule="auto"/>
        <w:jc w:val="both"/>
      </w:pPr>
    </w:p>
    <w:sectPr w:rsidR="00BC67ED">
      <w:pgSz w:w="11907" w:h="16840" w:code="9"/>
      <w:pgMar w:top="2268" w:right="1361" w:bottom="2268" w:left="2268" w:header="737"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7ED" w:rsidRDefault="00BC67ED">
      <w:r>
        <w:separator/>
      </w:r>
    </w:p>
  </w:endnote>
  <w:endnote w:type="continuationSeparator" w:id="1">
    <w:p w:rsidR="00BC67ED" w:rsidRDefault="00BC6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BC67E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7ED" w:rsidRDefault="00BC67ED">
      <w:r>
        <w:separator/>
      </w:r>
    </w:p>
  </w:footnote>
  <w:footnote w:type="continuationSeparator" w:id="1">
    <w:p w:rsidR="00BC67ED" w:rsidRDefault="00BC67ED">
      <w:r>
        <w:continuationSeparator/>
      </w:r>
    </w:p>
  </w:footnote>
  <w:footnote w:id="2">
    <w:p w:rsidR="00000000" w:rsidRDefault="00BC67ED">
      <w:pPr>
        <w:pStyle w:val="Textoindependiente3"/>
        <w:spacing w:line="360" w:lineRule="auto"/>
        <w:rPr>
          <w:rFonts w:cs="Arial"/>
        </w:rPr>
      </w:pPr>
      <w:r>
        <w:rPr>
          <w:rStyle w:val="Refdenotaalpie"/>
        </w:rPr>
        <w:footnoteRef/>
      </w:r>
      <w:r>
        <w:t xml:space="preserve"> </w:t>
      </w:r>
      <w:r>
        <w:rPr>
          <w:rFonts w:cs="Arial"/>
          <w:sz w:val="20"/>
        </w:rPr>
        <w:t>Génesis del Cáncer. http://www.latincancer. oró./pacientes_genesis.shtml</w:t>
      </w:r>
    </w:p>
    <w:p w:rsidR="00000000" w:rsidRDefault="00BC67ED">
      <w:pPr>
        <w:pStyle w:val="Textonotapie"/>
      </w:pPr>
    </w:p>
  </w:footnote>
  <w:footnote w:id="3">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w:t>
      </w:r>
      <w:r>
        <w:rPr>
          <w:rFonts w:cs="Arial"/>
          <w:sz w:val="20"/>
        </w:rPr>
        <w:t>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4">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5">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w:t>
      </w:r>
      <w:r>
        <w:rPr>
          <w:rFonts w:cs="Arial"/>
          <w:sz w:val="20"/>
        </w:rPr>
        <w:t>IVCVHAP/comunicación-E/016/</w:t>
      </w:r>
    </w:p>
    <w:p w:rsidR="00000000" w:rsidRDefault="00BC67ED">
      <w:pPr>
        <w:pStyle w:val="Textonotapie"/>
      </w:pPr>
    </w:p>
  </w:footnote>
  <w:footnote w:id="6">
    <w:p w:rsidR="00000000" w:rsidRDefault="00BC67ED">
      <w:pPr>
        <w:pStyle w:val="Textoindependiente3"/>
        <w:spacing w:line="360" w:lineRule="auto"/>
        <w:rPr>
          <w:rFonts w:cs="Arial"/>
        </w:rPr>
      </w:pPr>
      <w:r>
        <w:rPr>
          <w:rStyle w:val="Refdenotaalpie"/>
        </w:rPr>
        <w:footnoteRef/>
      </w:r>
      <w:r>
        <w:t xml:space="preserve"> </w:t>
      </w:r>
      <w:r>
        <w:rPr>
          <w:rFonts w:cs="Arial"/>
          <w:sz w:val="20"/>
        </w:rPr>
        <w:t>Cáncer http://www.galenored. com/saludable/patologías/cancer.htm</w:t>
      </w:r>
    </w:p>
    <w:p w:rsidR="00000000" w:rsidRDefault="00BC67ED">
      <w:pPr>
        <w:pStyle w:val="Textonotapie"/>
      </w:pPr>
    </w:p>
  </w:footnote>
  <w:footnote w:id="7">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http://www.latincancer. oró./pacientes_genesis.shtml</w:t>
      </w:r>
    </w:p>
    <w:p w:rsidR="00000000" w:rsidRDefault="00BC67ED">
      <w:pPr>
        <w:pStyle w:val="Textonotapie"/>
      </w:pPr>
    </w:p>
  </w:footnote>
  <w:footnote w:id="8">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http://www.latincancer. oró./pacientes_genesis.shtml</w:t>
      </w:r>
    </w:p>
    <w:p w:rsidR="00000000" w:rsidRDefault="00BC67ED">
      <w:pPr>
        <w:pStyle w:val="Textonotapie"/>
      </w:pPr>
    </w:p>
  </w:footnote>
  <w:footnote w:id="9">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w:t>
      </w:r>
      <w:r>
        <w:rPr>
          <w:rFonts w:cs="Arial"/>
          <w:sz w:val="20"/>
        </w:rPr>
        <w:t>is del Cáncer. http://www.latincancer. oró./pacientes_genesis.shtml</w:t>
      </w:r>
    </w:p>
    <w:p w:rsidR="00000000" w:rsidRDefault="00BC67ED">
      <w:pPr>
        <w:pStyle w:val="Textonotapie"/>
      </w:pPr>
    </w:p>
  </w:footnote>
  <w:footnote w:id="10">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11">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w:t>
      </w:r>
      <w:r>
        <w:rPr>
          <w:rFonts w:cs="Arial"/>
          <w:sz w:val="20"/>
        </w:rPr>
        <w:t>-E/016/</w:t>
      </w:r>
    </w:p>
    <w:p w:rsidR="00000000" w:rsidRDefault="00BC67ED">
      <w:pPr>
        <w:pStyle w:val="Textonotapie"/>
      </w:pPr>
    </w:p>
  </w:footnote>
  <w:footnote w:id="12">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13">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http://www.latincancer. oró./pacientes_genesis.shtml</w:t>
      </w:r>
    </w:p>
    <w:p w:rsidR="00000000" w:rsidRDefault="00BC67ED">
      <w:pPr>
        <w:pStyle w:val="Textonotapie"/>
      </w:pPr>
    </w:p>
  </w:footnote>
  <w:footnote w:id="14">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http://www.latincancer. oró./pacientes_genesis.shtm</w:t>
      </w:r>
      <w:r>
        <w:rPr>
          <w:rFonts w:cs="Arial"/>
          <w:sz w:val="20"/>
        </w:rPr>
        <w:t>l</w:t>
      </w:r>
    </w:p>
    <w:p w:rsidR="00000000" w:rsidRDefault="00BC67ED">
      <w:pPr>
        <w:pStyle w:val="Textonotapie"/>
      </w:pPr>
    </w:p>
  </w:footnote>
  <w:footnote w:id="15">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http://www.latincancer. oró./pacientes_genesis.shtml</w:t>
      </w:r>
    </w:p>
    <w:p w:rsidR="00000000" w:rsidRDefault="00BC67ED">
      <w:pPr>
        <w:pStyle w:val="Textonotapie"/>
      </w:pPr>
    </w:p>
  </w:footnote>
  <w:footnote w:id="16">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17">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w:t>
      </w:r>
      <w:r>
        <w:rPr>
          <w:rFonts w:cs="Arial"/>
          <w:sz w:val="20"/>
        </w:rPr>
        <w:t>municación-E/016/</w:t>
      </w:r>
    </w:p>
    <w:p w:rsidR="00000000" w:rsidRDefault="00BC67ED">
      <w:pPr>
        <w:pStyle w:val="Textonotapie"/>
      </w:pPr>
    </w:p>
  </w:footnote>
  <w:footnote w:id="18">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19">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20">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Génesis del Cáncer. http://www.latincan</w:t>
      </w:r>
      <w:r>
        <w:rPr>
          <w:rFonts w:cs="Arial"/>
          <w:sz w:val="20"/>
        </w:rPr>
        <w:t>cer. oró./pacientes_genesis.shtml</w:t>
      </w:r>
    </w:p>
    <w:p w:rsidR="00000000" w:rsidRDefault="00BC67ED">
      <w:pPr>
        <w:pStyle w:val="Textonotapie"/>
      </w:pPr>
    </w:p>
  </w:footnote>
  <w:footnote w:id="21">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22">
    <w:p w:rsidR="00000000" w:rsidRDefault="00BC67ED">
      <w:pPr>
        <w:pStyle w:val="Textoindependiente3"/>
        <w:spacing w:line="360" w:lineRule="auto"/>
        <w:rPr>
          <w:rFonts w:cs="Arial"/>
          <w:sz w:val="20"/>
        </w:rPr>
      </w:pPr>
      <w:r>
        <w:rPr>
          <w:rStyle w:val="Refdenotaalpie"/>
        </w:rPr>
        <w:footnoteRef/>
      </w:r>
      <w:r>
        <w:t xml:space="preserve"> </w:t>
      </w:r>
      <w:r>
        <w:rPr>
          <w:rFonts w:cs="Arial"/>
          <w:sz w:val="20"/>
        </w:rPr>
        <w:t>Detección precoz del cáncer de esófago.</w:t>
      </w:r>
    </w:p>
    <w:p w:rsidR="00000000" w:rsidRDefault="00BC67ED">
      <w:pPr>
        <w:pStyle w:val="Textoindependiente3"/>
        <w:spacing w:line="360" w:lineRule="auto"/>
        <w:rPr>
          <w:rFonts w:cs="Arial"/>
          <w:sz w:val="20"/>
        </w:rPr>
      </w:pPr>
      <w:r>
        <w:rPr>
          <w:rFonts w:cs="Arial"/>
          <w:sz w:val="20"/>
        </w:rPr>
        <w:t>http://conganat.uninet.edu/IVCVHAP/comunicación-E/016/</w:t>
      </w:r>
    </w:p>
    <w:p w:rsidR="00000000" w:rsidRDefault="00BC67ED">
      <w:pPr>
        <w:pStyle w:val="Textonotapie"/>
      </w:pPr>
    </w:p>
  </w:footnote>
  <w:footnote w:id="23">
    <w:p w:rsidR="00000000" w:rsidRDefault="00BC67ED">
      <w:pPr>
        <w:pStyle w:val="Textoindependiente3"/>
        <w:spacing w:line="360" w:lineRule="auto"/>
        <w:rPr>
          <w:rFonts w:cs="Arial"/>
          <w:sz w:val="20"/>
        </w:rPr>
      </w:pPr>
      <w:r>
        <w:rPr>
          <w:rStyle w:val="Refdenotaalpie"/>
        </w:rPr>
        <w:footnoteRef/>
      </w:r>
      <w:r>
        <w:rPr>
          <w:lang w:val="en-US"/>
        </w:rPr>
        <w:t xml:space="preserve"> </w:t>
      </w:r>
      <w:r>
        <w:rPr>
          <w:rFonts w:cs="Arial"/>
          <w:sz w:val="20"/>
          <w:lang w:val="en-US"/>
        </w:rPr>
        <w:t>Raphael Ha, Ellis FH Jr</w:t>
      </w:r>
      <w:r>
        <w:rPr>
          <w:rFonts w:cs="Arial"/>
          <w:sz w:val="20"/>
          <w:lang w:val="en-US"/>
        </w:rPr>
        <w:t xml:space="preserve">, Dockerty MB. Primary adenocarcinoma of the esophagus¨18-year review and review of the literature…..  </w:t>
      </w:r>
      <w:r>
        <w:rPr>
          <w:rFonts w:cs="Arial"/>
          <w:sz w:val="20"/>
        </w:rPr>
        <w:t>Ann Surg 1996; 164(5):785-796.</w:t>
      </w:r>
    </w:p>
    <w:p w:rsidR="00000000" w:rsidRDefault="00BC67ED">
      <w:pPr>
        <w:pStyle w:val="Textonotapie"/>
      </w:pPr>
    </w:p>
  </w:footnote>
  <w:footnote w:id="24">
    <w:p w:rsidR="00000000" w:rsidRDefault="00BC67ED">
      <w:pPr>
        <w:pStyle w:val="Textoindependiente3"/>
        <w:spacing w:line="360" w:lineRule="auto"/>
        <w:rPr>
          <w:rFonts w:cs="Arial"/>
          <w:sz w:val="20"/>
        </w:rPr>
      </w:pPr>
      <w:r>
        <w:rPr>
          <w:rStyle w:val="Refdenotaalpie"/>
        </w:rPr>
        <w:footnoteRef/>
      </w:r>
      <w:r>
        <w:rPr>
          <w:lang w:val="fr-FR"/>
        </w:rPr>
        <w:t xml:space="preserve"> </w:t>
      </w:r>
      <w:r>
        <w:rPr>
          <w:rFonts w:cs="Arial"/>
          <w:sz w:val="20"/>
          <w:lang w:val="fr-FR"/>
        </w:rPr>
        <w:t xml:space="preserve">Zhang Af, Kurtz RC, Sun M et al. </w:t>
      </w:r>
      <w:r>
        <w:rPr>
          <w:rFonts w:cs="Arial"/>
          <w:sz w:val="20"/>
          <w:lang w:val="en-US"/>
        </w:rPr>
        <w:t>Adenocarcinoma of the esophagus and gastric cardia: medical conditions, tobacco, alcoh</w:t>
      </w:r>
      <w:r>
        <w:rPr>
          <w:rFonts w:cs="Arial"/>
          <w:sz w:val="20"/>
          <w:lang w:val="en-US"/>
        </w:rPr>
        <w:t xml:space="preserve">ol, and socioeconomic factors.  </w:t>
      </w:r>
      <w:r>
        <w:rPr>
          <w:rFonts w:cs="Arial"/>
          <w:sz w:val="20"/>
        </w:rPr>
        <w:t>Cáncer Epidemiol Biomarkers Prev 1996; 5:761-768.</w:t>
      </w:r>
    </w:p>
    <w:p w:rsidR="00000000" w:rsidRDefault="00BC67ED">
      <w:pPr>
        <w:pStyle w:val="Textonotapie"/>
      </w:pPr>
    </w:p>
  </w:footnote>
  <w:footnote w:id="25">
    <w:p w:rsidR="00000000" w:rsidRDefault="00BC67ED">
      <w:pPr>
        <w:pStyle w:val="Textonotapie"/>
      </w:pPr>
      <w:r>
        <w:rPr>
          <w:rStyle w:val="Refdenotaalpie"/>
        </w:rPr>
        <w:footnoteRef/>
      </w:r>
      <w:r>
        <w:t xml:space="preserve"> Ver Anexo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BC67ED">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1239">
      <w:rPr>
        <w:rStyle w:val="Nmerodepgina"/>
        <w:noProof/>
      </w:rPr>
      <w:t>170</w:t>
    </w:r>
    <w:r>
      <w:rPr>
        <w:rStyle w:val="Nmerodepgina"/>
      </w:rPr>
      <w:fldChar w:fldCharType="end"/>
    </w:r>
  </w:p>
  <w:p w:rsidR="00000000" w:rsidRDefault="00BC67ED">
    <w:pPr>
      <w:pStyle w:val="Piedepgina"/>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1239">
      <w:rPr>
        <w:rStyle w:val="Nmerodepgina"/>
        <w:noProof/>
      </w:rPr>
      <w:t>136</w:t>
    </w:r>
    <w:r>
      <w:rPr>
        <w:rStyle w:val="Nmerodepgina"/>
      </w:rPr>
      <w:fldChar w:fldCharType="end"/>
    </w:r>
  </w:p>
  <w:p w:rsidR="00000000" w:rsidRDefault="00BC67ED">
    <w:pPr>
      <w:pStyle w:val="Encabezado"/>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000000" w:rsidRDefault="00BC67ED">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1239">
      <w:rPr>
        <w:rStyle w:val="Nmerodepgina"/>
        <w:noProof/>
      </w:rPr>
      <w:t>54</w:t>
    </w:r>
    <w:r>
      <w:rPr>
        <w:rStyle w:val="Nmerodepgina"/>
      </w:rPr>
      <w:fldChar w:fldCharType="end"/>
    </w:r>
  </w:p>
  <w:p w:rsidR="00000000" w:rsidRDefault="00BC67ED">
    <w:pPr>
      <w:pStyle w:val="Piedepgina"/>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Piedepgina"/>
      <w:ind w:left="708" w:right="-2"/>
      <w:jc w:val="right"/>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221239">
      <w:rPr>
        <w:rStyle w:val="Nmerodepgina"/>
        <w:noProof/>
      </w:rPr>
      <w:t>134</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2"/>
      <w:jc w:val="right"/>
    </w:pPr>
    <w:r>
      <w:rPr>
        <w:rStyle w:val="Nmerodepgina"/>
      </w:rPr>
      <w:fldChar w:fldCharType="begin"/>
    </w:r>
    <w:r>
      <w:rPr>
        <w:rStyle w:val="Nmerodepgina"/>
      </w:rPr>
      <w:instrText xml:space="preserve"> PAGE </w:instrText>
    </w:r>
    <w:r>
      <w:rPr>
        <w:rStyle w:val="Nmerodepgina"/>
      </w:rPr>
      <w:fldChar w:fldCharType="separate"/>
    </w:r>
    <w:r w:rsidR="00221239">
      <w:rPr>
        <w:rStyle w:val="Nmerodepgina"/>
        <w:noProof/>
      </w:rPr>
      <w:t>85</w:t>
    </w:r>
    <w:r>
      <w:rPr>
        <w:rStyle w:val="Nmerodepgina"/>
      </w:rPr>
      <w:fldChar w:fldCharType="end"/>
    </w:r>
    <w:r>
      <w:rPr>
        <w:rStyle w:val="Nmerodepgina"/>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C67ED">
    <w:pPr>
      <w:pStyle w:val="Encabezado"/>
      <w:ind w:right="-2"/>
      <w:jc w:val="right"/>
    </w:pPr>
    <w:r>
      <w:rPr>
        <w:rStyle w:val="Nmerodepgin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5449"/>
    <w:multiLevelType w:val="hybridMultilevel"/>
    <w:tmpl w:val="96FCCBE2"/>
    <w:lvl w:ilvl="0" w:tplc="300A000F">
      <w:start w:val="1"/>
      <w:numFmt w:val="decimal"/>
      <w:lvlText w:val="%1."/>
      <w:lvlJc w:val="left"/>
      <w:pPr>
        <w:tabs>
          <w:tab w:val="num" w:pos="1068"/>
        </w:tabs>
        <w:ind w:left="1068" w:hanging="360"/>
      </w:pPr>
    </w:lvl>
    <w:lvl w:ilvl="1" w:tplc="300A0019" w:tentative="1">
      <w:start w:val="1"/>
      <w:numFmt w:val="lowerLetter"/>
      <w:lvlText w:val="%2."/>
      <w:lvlJc w:val="left"/>
      <w:pPr>
        <w:tabs>
          <w:tab w:val="num" w:pos="1788"/>
        </w:tabs>
        <w:ind w:left="1788" w:hanging="360"/>
      </w:pPr>
    </w:lvl>
    <w:lvl w:ilvl="2" w:tplc="300A001B" w:tentative="1">
      <w:start w:val="1"/>
      <w:numFmt w:val="lowerRoman"/>
      <w:lvlText w:val="%3."/>
      <w:lvlJc w:val="right"/>
      <w:pPr>
        <w:tabs>
          <w:tab w:val="num" w:pos="2508"/>
        </w:tabs>
        <w:ind w:left="2508" w:hanging="180"/>
      </w:pPr>
    </w:lvl>
    <w:lvl w:ilvl="3" w:tplc="300A000F" w:tentative="1">
      <w:start w:val="1"/>
      <w:numFmt w:val="decimal"/>
      <w:lvlText w:val="%4."/>
      <w:lvlJc w:val="left"/>
      <w:pPr>
        <w:tabs>
          <w:tab w:val="num" w:pos="3228"/>
        </w:tabs>
        <w:ind w:left="3228" w:hanging="360"/>
      </w:pPr>
    </w:lvl>
    <w:lvl w:ilvl="4" w:tplc="300A0019" w:tentative="1">
      <w:start w:val="1"/>
      <w:numFmt w:val="lowerLetter"/>
      <w:lvlText w:val="%5."/>
      <w:lvlJc w:val="left"/>
      <w:pPr>
        <w:tabs>
          <w:tab w:val="num" w:pos="3948"/>
        </w:tabs>
        <w:ind w:left="3948" w:hanging="360"/>
      </w:pPr>
    </w:lvl>
    <w:lvl w:ilvl="5" w:tplc="300A001B" w:tentative="1">
      <w:start w:val="1"/>
      <w:numFmt w:val="lowerRoman"/>
      <w:lvlText w:val="%6."/>
      <w:lvlJc w:val="right"/>
      <w:pPr>
        <w:tabs>
          <w:tab w:val="num" w:pos="4668"/>
        </w:tabs>
        <w:ind w:left="4668" w:hanging="180"/>
      </w:pPr>
    </w:lvl>
    <w:lvl w:ilvl="6" w:tplc="300A000F" w:tentative="1">
      <w:start w:val="1"/>
      <w:numFmt w:val="decimal"/>
      <w:lvlText w:val="%7."/>
      <w:lvlJc w:val="left"/>
      <w:pPr>
        <w:tabs>
          <w:tab w:val="num" w:pos="5388"/>
        </w:tabs>
        <w:ind w:left="5388" w:hanging="360"/>
      </w:pPr>
    </w:lvl>
    <w:lvl w:ilvl="7" w:tplc="300A0019" w:tentative="1">
      <w:start w:val="1"/>
      <w:numFmt w:val="lowerLetter"/>
      <w:lvlText w:val="%8."/>
      <w:lvlJc w:val="left"/>
      <w:pPr>
        <w:tabs>
          <w:tab w:val="num" w:pos="6108"/>
        </w:tabs>
        <w:ind w:left="6108" w:hanging="360"/>
      </w:pPr>
    </w:lvl>
    <w:lvl w:ilvl="8" w:tplc="300A001B" w:tentative="1">
      <w:start w:val="1"/>
      <w:numFmt w:val="lowerRoman"/>
      <w:lvlText w:val="%9."/>
      <w:lvlJc w:val="right"/>
      <w:pPr>
        <w:tabs>
          <w:tab w:val="num" w:pos="6828"/>
        </w:tabs>
        <w:ind w:left="6828" w:hanging="180"/>
      </w:pPr>
    </w:lvl>
  </w:abstractNum>
  <w:abstractNum w:abstractNumId="1">
    <w:nsid w:val="0384143A"/>
    <w:multiLevelType w:val="hybridMultilevel"/>
    <w:tmpl w:val="2C783F6E"/>
    <w:lvl w:ilvl="0" w:tplc="EDC0A36A">
      <w:start w:val="1"/>
      <w:numFmt w:val="bullet"/>
      <w:lvlText w:val=""/>
      <w:lvlJc w:val="left"/>
      <w:pPr>
        <w:tabs>
          <w:tab w:val="num" w:pos="720"/>
        </w:tabs>
        <w:ind w:left="720" w:hanging="360"/>
      </w:pPr>
      <w:rPr>
        <w:rFonts w:ascii="Symbol" w:hAnsi="Symbol" w:hint="default"/>
        <w:sz w:val="20"/>
      </w:rPr>
    </w:lvl>
    <w:lvl w:ilvl="1" w:tplc="8B98E022" w:tentative="1">
      <w:start w:val="1"/>
      <w:numFmt w:val="bullet"/>
      <w:lvlText w:val="o"/>
      <w:lvlJc w:val="left"/>
      <w:pPr>
        <w:tabs>
          <w:tab w:val="num" w:pos="1440"/>
        </w:tabs>
        <w:ind w:left="1440" w:hanging="360"/>
      </w:pPr>
      <w:rPr>
        <w:rFonts w:ascii="Courier New" w:hAnsi="Courier New" w:hint="default"/>
        <w:sz w:val="20"/>
      </w:rPr>
    </w:lvl>
    <w:lvl w:ilvl="2" w:tplc="2EFCD854" w:tentative="1">
      <w:start w:val="1"/>
      <w:numFmt w:val="bullet"/>
      <w:lvlText w:val=""/>
      <w:lvlJc w:val="left"/>
      <w:pPr>
        <w:tabs>
          <w:tab w:val="num" w:pos="2160"/>
        </w:tabs>
        <w:ind w:left="2160" w:hanging="360"/>
      </w:pPr>
      <w:rPr>
        <w:rFonts w:ascii="Wingdings" w:hAnsi="Wingdings" w:hint="default"/>
        <w:sz w:val="20"/>
      </w:rPr>
    </w:lvl>
    <w:lvl w:ilvl="3" w:tplc="8798363C" w:tentative="1">
      <w:start w:val="1"/>
      <w:numFmt w:val="bullet"/>
      <w:lvlText w:val=""/>
      <w:lvlJc w:val="left"/>
      <w:pPr>
        <w:tabs>
          <w:tab w:val="num" w:pos="2880"/>
        </w:tabs>
        <w:ind w:left="2880" w:hanging="360"/>
      </w:pPr>
      <w:rPr>
        <w:rFonts w:ascii="Wingdings" w:hAnsi="Wingdings" w:hint="default"/>
        <w:sz w:val="20"/>
      </w:rPr>
    </w:lvl>
    <w:lvl w:ilvl="4" w:tplc="1E644F7A" w:tentative="1">
      <w:start w:val="1"/>
      <w:numFmt w:val="bullet"/>
      <w:lvlText w:val=""/>
      <w:lvlJc w:val="left"/>
      <w:pPr>
        <w:tabs>
          <w:tab w:val="num" w:pos="3600"/>
        </w:tabs>
        <w:ind w:left="3600" w:hanging="360"/>
      </w:pPr>
      <w:rPr>
        <w:rFonts w:ascii="Wingdings" w:hAnsi="Wingdings" w:hint="default"/>
        <w:sz w:val="20"/>
      </w:rPr>
    </w:lvl>
    <w:lvl w:ilvl="5" w:tplc="93909488" w:tentative="1">
      <w:start w:val="1"/>
      <w:numFmt w:val="bullet"/>
      <w:lvlText w:val=""/>
      <w:lvlJc w:val="left"/>
      <w:pPr>
        <w:tabs>
          <w:tab w:val="num" w:pos="4320"/>
        </w:tabs>
        <w:ind w:left="4320" w:hanging="360"/>
      </w:pPr>
      <w:rPr>
        <w:rFonts w:ascii="Wingdings" w:hAnsi="Wingdings" w:hint="default"/>
        <w:sz w:val="20"/>
      </w:rPr>
    </w:lvl>
    <w:lvl w:ilvl="6" w:tplc="BF9C78FE" w:tentative="1">
      <w:start w:val="1"/>
      <w:numFmt w:val="bullet"/>
      <w:lvlText w:val=""/>
      <w:lvlJc w:val="left"/>
      <w:pPr>
        <w:tabs>
          <w:tab w:val="num" w:pos="5040"/>
        </w:tabs>
        <w:ind w:left="5040" w:hanging="360"/>
      </w:pPr>
      <w:rPr>
        <w:rFonts w:ascii="Wingdings" w:hAnsi="Wingdings" w:hint="default"/>
        <w:sz w:val="20"/>
      </w:rPr>
    </w:lvl>
    <w:lvl w:ilvl="7" w:tplc="3A4620A6" w:tentative="1">
      <w:start w:val="1"/>
      <w:numFmt w:val="bullet"/>
      <w:lvlText w:val=""/>
      <w:lvlJc w:val="left"/>
      <w:pPr>
        <w:tabs>
          <w:tab w:val="num" w:pos="5760"/>
        </w:tabs>
        <w:ind w:left="5760" w:hanging="360"/>
      </w:pPr>
      <w:rPr>
        <w:rFonts w:ascii="Wingdings" w:hAnsi="Wingdings" w:hint="default"/>
        <w:sz w:val="20"/>
      </w:rPr>
    </w:lvl>
    <w:lvl w:ilvl="8" w:tplc="075A8B2A"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120F4"/>
    <w:multiLevelType w:val="hybridMultilevel"/>
    <w:tmpl w:val="E9AE3760"/>
    <w:lvl w:ilvl="0" w:tplc="9FDC2FCA">
      <w:start w:val="1"/>
      <w:numFmt w:val="bullet"/>
      <w:lvlText w:val=""/>
      <w:lvlJc w:val="left"/>
      <w:pPr>
        <w:tabs>
          <w:tab w:val="num" w:pos="2113"/>
        </w:tabs>
        <w:ind w:left="2113" w:hanging="491"/>
      </w:pPr>
      <w:rPr>
        <w:rFonts w:ascii="Wingdings" w:hAnsi="Wingdings" w:hint="default"/>
      </w:rPr>
    </w:lvl>
    <w:lvl w:ilvl="1" w:tplc="300A0003" w:tentative="1">
      <w:start w:val="1"/>
      <w:numFmt w:val="bullet"/>
      <w:lvlText w:val="o"/>
      <w:lvlJc w:val="left"/>
      <w:pPr>
        <w:tabs>
          <w:tab w:val="num" w:pos="2702"/>
        </w:tabs>
        <w:ind w:left="2702" w:hanging="360"/>
      </w:pPr>
      <w:rPr>
        <w:rFonts w:ascii="Courier New" w:hAnsi="Courier New" w:cs="Courier New" w:hint="default"/>
      </w:rPr>
    </w:lvl>
    <w:lvl w:ilvl="2" w:tplc="300A0005" w:tentative="1">
      <w:start w:val="1"/>
      <w:numFmt w:val="bullet"/>
      <w:lvlText w:val=""/>
      <w:lvlJc w:val="left"/>
      <w:pPr>
        <w:tabs>
          <w:tab w:val="num" w:pos="3422"/>
        </w:tabs>
        <w:ind w:left="3422" w:hanging="360"/>
      </w:pPr>
      <w:rPr>
        <w:rFonts w:ascii="Wingdings" w:hAnsi="Wingdings" w:hint="default"/>
      </w:rPr>
    </w:lvl>
    <w:lvl w:ilvl="3" w:tplc="300A0001" w:tentative="1">
      <w:start w:val="1"/>
      <w:numFmt w:val="bullet"/>
      <w:lvlText w:val=""/>
      <w:lvlJc w:val="left"/>
      <w:pPr>
        <w:tabs>
          <w:tab w:val="num" w:pos="4142"/>
        </w:tabs>
        <w:ind w:left="4142" w:hanging="360"/>
      </w:pPr>
      <w:rPr>
        <w:rFonts w:ascii="Symbol" w:hAnsi="Symbol" w:hint="default"/>
      </w:rPr>
    </w:lvl>
    <w:lvl w:ilvl="4" w:tplc="300A0003" w:tentative="1">
      <w:start w:val="1"/>
      <w:numFmt w:val="bullet"/>
      <w:lvlText w:val="o"/>
      <w:lvlJc w:val="left"/>
      <w:pPr>
        <w:tabs>
          <w:tab w:val="num" w:pos="4862"/>
        </w:tabs>
        <w:ind w:left="4862" w:hanging="360"/>
      </w:pPr>
      <w:rPr>
        <w:rFonts w:ascii="Courier New" w:hAnsi="Courier New" w:cs="Courier New" w:hint="default"/>
      </w:rPr>
    </w:lvl>
    <w:lvl w:ilvl="5" w:tplc="300A0005" w:tentative="1">
      <w:start w:val="1"/>
      <w:numFmt w:val="bullet"/>
      <w:lvlText w:val=""/>
      <w:lvlJc w:val="left"/>
      <w:pPr>
        <w:tabs>
          <w:tab w:val="num" w:pos="5582"/>
        </w:tabs>
        <w:ind w:left="5582" w:hanging="360"/>
      </w:pPr>
      <w:rPr>
        <w:rFonts w:ascii="Wingdings" w:hAnsi="Wingdings" w:hint="default"/>
      </w:rPr>
    </w:lvl>
    <w:lvl w:ilvl="6" w:tplc="300A0001" w:tentative="1">
      <w:start w:val="1"/>
      <w:numFmt w:val="bullet"/>
      <w:lvlText w:val=""/>
      <w:lvlJc w:val="left"/>
      <w:pPr>
        <w:tabs>
          <w:tab w:val="num" w:pos="6302"/>
        </w:tabs>
        <w:ind w:left="6302" w:hanging="360"/>
      </w:pPr>
      <w:rPr>
        <w:rFonts w:ascii="Symbol" w:hAnsi="Symbol" w:hint="default"/>
      </w:rPr>
    </w:lvl>
    <w:lvl w:ilvl="7" w:tplc="300A0003" w:tentative="1">
      <w:start w:val="1"/>
      <w:numFmt w:val="bullet"/>
      <w:lvlText w:val="o"/>
      <w:lvlJc w:val="left"/>
      <w:pPr>
        <w:tabs>
          <w:tab w:val="num" w:pos="7022"/>
        </w:tabs>
        <w:ind w:left="7022" w:hanging="360"/>
      </w:pPr>
      <w:rPr>
        <w:rFonts w:ascii="Courier New" w:hAnsi="Courier New" w:cs="Courier New" w:hint="default"/>
      </w:rPr>
    </w:lvl>
    <w:lvl w:ilvl="8" w:tplc="300A0005" w:tentative="1">
      <w:start w:val="1"/>
      <w:numFmt w:val="bullet"/>
      <w:lvlText w:val=""/>
      <w:lvlJc w:val="left"/>
      <w:pPr>
        <w:tabs>
          <w:tab w:val="num" w:pos="7742"/>
        </w:tabs>
        <w:ind w:left="7742" w:hanging="360"/>
      </w:pPr>
      <w:rPr>
        <w:rFonts w:ascii="Wingdings" w:hAnsi="Wingdings" w:hint="default"/>
      </w:rPr>
    </w:lvl>
  </w:abstractNum>
  <w:abstractNum w:abstractNumId="3">
    <w:nsid w:val="0CEB3C01"/>
    <w:multiLevelType w:val="multilevel"/>
    <w:tmpl w:val="7FA6884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nsid w:val="0EF87C21"/>
    <w:multiLevelType w:val="multilevel"/>
    <w:tmpl w:val="98429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E20EEB"/>
    <w:multiLevelType w:val="multilevel"/>
    <w:tmpl w:val="245EA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4C4430"/>
    <w:multiLevelType w:val="multilevel"/>
    <w:tmpl w:val="594C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084B1A"/>
    <w:multiLevelType w:val="multilevel"/>
    <w:tmpl w:val="D254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CD58EC"/>
    <w:multiLevelType w:val="multilevel"/>
    <w:tmpl w:val="2CC4DC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bullet"/>
      <w:lvlText w:val=""/>
      <w:lvlJc w:val="left"/>
      <w:pPr>
        <w:tabs>
          <w:tab w:val="num" w:pos="1211"/>
        </w:tabs>
        <w:ind w:left="1211" w:hanging="491"/>
      </w:pPr>
      <w:rPr>
        <w:rFonts w:ascii="Wingdings" w:hAnsi="Wingding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nsid w:val="14D03416"/>
    <w:multiLevelType w:val="hybridMultilevel"/>
    <w:tmpl w:val="00308124"/>
    <w:lvl w:ilvl="0" w:tplc="300A0009">
      <w:start w:val="1"/>
      <w:numFmt w:val="bullet"/>
      <w:lvlText w:val=""/>
      <w:lvlJc w:val="left"/>
      <w:pPr>
        <w:tabs>
          <w:tab w:val="num" w:pos="2517"/>
        </w:tabs>
        <w:ind w:left="2517" w:hanging="360"/>
      </w:pPr>
      <w:rPr>
        <w:rFonts w:ascii="Wingdings" w:hAnsi="Wingdings" w:hint="default"/>
      </w:rPr>
    </w:lvl>
    <w:lvl w:ilvl="1" w:tplc="300A0003" w:tentative="1">
      <w:start w:val="1"/>
      <w:numFmt w:val="bullet"/>
      <w:lvlText w:val="o"/>
      <w:lvlJc w:val="left"/>
      <w:pPr>
        <w:tabs>
          <w:tab w:val="num" w:pos="3237"/>
        </w:tabs>
        <w:ind w:left="3237" w:hanging="360"/>
      </w:pPr>
      <w:rPr>
        <w:rFonts w:ascii="Courier New" w:hAnsi="Courier New" w:cs="Courier New" w:hint="default"/>
      </w:rPr>
    </w:lvl>
    <w:lvl w:ilvl="2" w:tplc="300A0005" w:tentative="1">
      <w:start w:val="1"/>
      <w:numFmt w:val="bullet"/>
      <w:lvlText w:val=""/>
      <w:lvlJc w:val="left"/>
      <w:pPr>
        <w:tabs>
          <w:tab w:val="num" w:pos="3957"/>
        </w:tabs>
        <w:ind w:left="3957" w:hanging="360"/>
      </w:pPr>
      <w:rPr>
        <w:rFonts w:ascii="Wingdings" w:hAnsi="Wingdings" w:hint="default"/>
      </w:rPr>
    </w:lvl>
    <w:lvl w:ilvl="3" w:tplc="300A0001" w:tentative="1">
      <w:start w:val="1"/>
      <w:numFmt w:val="bullet"/>
      <w:lvlText w:val=""/>
      <w:lvlJc w:val="left"/>
      <w:pPr>
        <w:tabs>
          <w:tab w:val="num" w:pos="4677"/>
        </w:tabs>
        <w:ind w:left="4677" w:hanging="360"/>
      </w:pPr>
      <w:rPr>
        <w:rFonts w:ascii="Symbol" w:hAnsi="Symbol" w:hint="default"/>
      </w:rPr>
    </w:lvl>
    <w:lvl w:ilvl="4" w:tplc="300A0003" w:tentative="1">
      <w:start w:val="1"/>
      <w:numFmt w:val="bullet"/>
      <w:lvlText w:val="o"/>
      <w:lvlJc w:val="left"/>
      <w:pPr>
        <w:tabs>
          <w:tab w:val="num" w:pos="5397"/>
        </w:tabs>
        <w:ind w:left="5397" w:hanging="360"/>
      </w:pPr>
      <w:rPr>
        <w:rFonts w:ascii="Courier New" w:hAnsi="Courier New" w:cs="Courier New" w:hint="default"/>
      </w:rPr>
    </w:lvl>
    <w:lvl w:ilvl="5" w:tplc="300A0005" w:tentative="1">
      <w:start w:val="1"/>
      <w:numFmt w:val="bullet"/>
      <w:lvlText w:val=""/>
      <w:lvlJc w:val="left"/>
      <w:pPr>
        <w:tabs>
          <w:tab w:val="num" w:pos="6117"/>
        </w:tabs>
        <w:ind w:left="6117" w:hanging="360"/>
      </w:pPr>
      <w:rPr>
        <w:rFonts w:ascii="Wingdings" w:hAnsi="Wingdings" w:hint="default"/>
      </w:rPr>
    </w:lvl>
    <w:lvl w:ilvl="6" w:tplc="300A0001" w:tentative="1">
      <w:start w:val="1"/>
      <w:numFmt w:val="bullet"/>
      <w:lvlText w:val=""/>
      <w:lvlJc w:val="left"/>
      <w:pPr>
        <w:tabs>
          <w:tab w:val="num" w:pos="6837"/>
        </w:tabs>
        <w:ind w:left="6837" w:hanging="360"/>
      </w:pPr>
      <w:rPr>
        <w:rFonts w:ascii="Symbol" w:hAnsi="Symbol" w:hint="default"/>
      </w:rPr>
    </w:lvl>
    <w:lvl w:ilvl="7" w:tplc="300A0003" w:tentative="1">
      <w:start w:val="1"/>
      <w:numFmt w:val="bullet"/>
      <w:lvlText w:val="o"/>
      <w:lvlJc w:val="left"/>
      <w:pPr>
        <w:tabs>
          <w:tab w:val="num" w:pos="7557"/>
        </w:tabs>
        <w:ind w:left="7557" w:hanging="360"/>
      </w:pPr>
      <w:rPr>
        <w:rFonts w:ascii="Courier New" w:hAnsi="Courier New" w:cs="Courier New" w:hint="default"/>
      </w:rPr>
    </w:lvl>
    <w:lvl w:ilvl="8" w:tplc="300A0005" w:tentative="1">
      <w:start w:val="1"/>
      <w:numFmt w:val="bullet"/>
      <w:lvlText w:val=""/>
      <w:lvlJc w:val="left"/>
      <w:pPr>
        <w:tabs>
          <w:tab w:val="num" w:pos="8277"/>
        </w:tabs>
        <w:ind w:left="8277" w:hanging="360"/>
      </w:pPr>
      <w:rPr>
        <w:rFonts w:ascii="Wingdings" w:hAnsi="Wingdings" w:hint="default"/>
      </w:rPr>
    </w:lvl>
  </w:abstractNum>
  <w:abstractNum w:abstractNumId="10">
    <w:nsid w:val="163A70A3"/>
    <w:multiLevelType w:val="hybridMultilevel"/>
    <w:tmpl w:val="615EEA5A"/>
    <w:lvl w:ilvl="0" w:tplc="300A0001">
      <w:start w:val="1"/>
      <w:numFmt w:val="bullet"/>
      <w:lvlText w:val=""/>
      <w:lvlJc w:val="left"/>
      <w:pPr>
        <w:tabs>
          <w:tab w:val="num" w:pos="2157"/>
        </w:tabs>
        <w:ind w:left="2157" w:hanging="360"/>
      </w:pPr>
      <w:rPr>
        <w:rFonts w:ascii="Symbol" w:hAnsi="Symbol" w:hint="default"/>
      </w:rPr>
    </w:lvl>
    <w:lvl w:ilvl="1" w:tplc="300A0003" w:tentative="1">
      <w:start w:val="1"/>
      <w:numFmt w:val="bullet"/>
      <w:lvlText w:val="o"/>
      <w:lvlJc w:val="left"/>
      <w:pPr>
        <w:tabs>
          <w:tab w:val="num" w:pos="4674"/>
        </w:tabs>
        <w:ind w:left="4674" w:hanging="360"/>
      </w:pPr>
      <w:rPr>
        <w:rFonts w:ascii="Courier New" w:hAnsi="Courier New" w:cs="Courier New" w:hint="default"/>
      </w:rPr>
    </w:lvl>
    <w:lvl w:ilvl="2" w:tplc="300A0005" w:tentative="1">
      <w:start w:val="1"/>
      <w:numFmt w:val="bullet"/>
      <w:lvlText w:val=""/>
      <w:lvlJc w:val="left"/>
      <w:pPr>
        <w:tabs>
          <w:tab w:val="num" w:pos="5394"/>
        </w:tabs>
        <w:ind w:left="5394" w:hanging="360"/>
      </w:pPr>
      <w:rPr>
        <w:rFonts w:ascii="Wingdings" w:hAnsi="Wingdings" w:hint="default"/>
      </w:rPr>
    </w:lvl>
    <w:lvl w:ilvl="3" w:tplc="300A0001" w:tentative="1">
      <w:start w:val="1"/>
      <w:numFmt w:val="bullet"/>
      <w:lvlText w:val=""/>
      <w:lvlJc w:val="left"/>
      <w:pPr>
        <w:tabs>
          <w:tab w:val="num" w:pos="6114"/>
        </w:tabs>
        <w:ind w:left="6114" w:hanging="360"/>
      </w:pPr>
      <w:rPr>
        <w:rFonts w:ascii="Symbol" w:hAnsi="Symbol" w:hint="default"/>
      </w:rPr>
    </w:lvl>
    <w:lvl w:ilvl="4" w:tplc="300A0003" w:tentative="1">
      <w:start w:val="1"/>
      <w:numFmt w:val="bullet"/>
      <w:lvlText w:val="o"/>
      <w:lvlJc w:val="left"/>
      <w:pPr>
        <w:tabs>
          <w:tab w:val="num" w:pos="6834"/>
        </w:tabs>
        <w:ind w:left="6834" w:hanging="360"/>
      </w:pPr>
      <w:rPr>
        <w:rFonts w:ascii="Courier New" w:hAnsi="Courier New" w:cs="Courier New" w:hint="default"/>
      </w:rPr>
    </w:lvl>
    <w:lvl w:ilvl="5" w:tplc="300A0005" w:tentative="1">
      <w:start w:val="1"/>
      <w:numFmt w:val="bullet"/>
      <w:lvlText w:val=""/>
      <w:lvlJc w:val="left"/>
      <w:pPr>
        <w:tabs>
          <w:tab w:val="num" w:pos="7554"/>
        </w:tabs>
        <w:ind w:left="7554" w:hanging="360"/>
      </w:pPr>
      <w:rPr>
        <w:rFonts w:ascii="Wingdings" w:hAnsi="Wingdings" w:hint="default"/>
      </w:rPr>
    </w:lvl>
    <w:lvl w:ilvl="6" w:tplc="300A0001" w:tentative="1">
      <w:start w:val="1"/>
      <w:numFmt w:val="bullet"/>
      <w:lvlText w:val=""/>
      <w:lvlJc w:val="left"/>
      <w:pPr>
        <w:tabs>
          <w:tab w:val="num" w:pos="8274"/>
        </w:tabs>
        <w:ind w:left="8274" w:hanging="360"/>
      </w:pPr>
      <w:rPr>
        <w:rFonts w:ascii="Symbol" w:hAnsi="Symbol" w:hint="default"/>
      </w:rPr>
    </w:lvl>
    <w:lvl w:ilvl="7" w:tplc="300A0003" w:tentative="1">
      <w:start w:val="1"/>
      <w:numFmt w:val="bullet"/>
      <w:lvlText w:val="o"/>
      <w:lvlJc w:val="left"/>
      <w:pPr>
        <w:tabs>
          <w:tab w:val="num" w:pos="8994"/>
        </w:tabs>
        <w:ind w:left="8994" w:hanging="360"/>
      </w:pPr>
      <w:rPr>
        <w:rFonts w:ascii="Courier New" w:hAnsi="Courier New" w:cs="Courier New" w:hint="default"/>
      </w:rPr>
    </w:lvl>
    <w:lvl w:ilvl="8" w:tplc="300A0005" w:tentative="1">
      <w:start w:val="1"/>
      <w:numFmt w:val="bullet"/>
      <w:lvlText w:val=""/>
      <w:lvlJc w:val="left"/>
      <w:pPr>
        <w:tabs>
          <w:tab w:val="num" w:pos="9714"/>
        </w:tabs>
        <w:ind w:left="9714" w:hanging="360"/>
      </w:pPr>
      <w:rPr>
        <w:rFonts w:ascii="Wingdings" w:hAnsi="Wingdings" w:hint="default"/>
      </w:rPr>
    </w:lvl>
  </w:abstractNum>
  <w:abstractNum w:abstractNumId="11">
    <w:nsid w:val="1AFE45BA"/>
    <w:multiLevelType w:val="hybridMultilevel"/>
    <w:tmpl w:val="6394865C"/>
    <w:lvl w:ilvl="0" w:tplc="2AC07BFE">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FAA7320"/>
    <w:multiLevelType w:val="hybridMultilevel"/>
    <w:tmpl w:val="BA585EEA"/>
    <w:lvl w:ilvl="0" w:tplc="300A0001">
      <w:start w:val="1"/>
      <w:numFmt w:val="bullet"/>
      <w:lvlText w:val=""/>
      <w:lvlJc w:val="left"/>
      <w:pPr>
        <w:tabs>
          <w:tab w:val="num" w:pos="2484"/>
        </w:tabs>
        <w:ind w:left="2484" w:hanging="360"/>
      </w:pPr>
      <w:rPr>
        <w:rFonts w:ascii="Symbol" w:hAnsi="Symbol" w:hint="default"/>
      </w:rPr>
    </w:lvl>
    <w:lvl w:ilvl="1" w:tplc="300A0003" w:tentative="1">
      <w:start w:val="1"/>
      <w:numFmt w:val="bullet"/>
      <w:lvlText w:val="o"/>
      <w:lvlJc w:val="left"/>
      <w:pPr>
        <w:tabs>
          <w:tab w:val="num" w:pos="3204"/>
        </w:tabs>
        <w:ind w:left="3204" w:hanging="360"/>
      </w:pPr>
      <w:rPr>
        <w:rFonts w:ascii="Courier New" w:hAnsi="Courier New" w:cs="Courier New" w:hint="default"/>
      </w:rPr>
    </w:lvl>
    <w:lvl w:ilvl="2" w:tplc="300A0005" w:tentative="1">
      <w:start w:val="1"/>
      <w:numFmt w:val="bullet"/>
      <w:lvlText w:val=""/>
      <w:lvlJc w:val="left"/>
      <w:pPr>
        <w:tabs>
          <w:tab w:val="num" w:pos="3924"/>
        </w:tabs>
        <w:ind w:left="3924" w:hanging="360"/>
      </w:pPr>
      <w:rPr>
        <w:rFonts w:ascii="Wingdings" w:hAnsi="Wingdings" w:hint="default"/>
      </w:rPr>
    </w:lvl>
    <w:lvl w:ilvl="3" w:tplc="300A0001" w:tentative="1">
      <w:start w:val="1"/>
      <w:numFmt w:val="bullet"/>
      <w:lvlText w:val=""/>
      <w:lvlJc w:val="left"/>
      <w:pPr>
        <w:tabs>
          <w:tab w:val="num" w:pos="4644"/>
        </w:tabs>
        <w:ind w:left="4644" w:hanging="360"/>
      </w:pPr>
      <w:rPr>
        <w:rFonts w:ascii="Symbol" w:hAnsi="Symbol" w:hint="default"/>
      </w:rPr>
    </w:lvl>
    <w:lvl w:ilvl="4" w:tplc="300A0003" w:tentative="1">
      <w:start w:val="1"/>
      <w:numFmt w:val="bullet"/>
      <w:lvlText w:val="o"/>
      <w:lvlJc w:val="left"/>
      <w:pPr>
        <w:tabs>
          <w:tab w:val="num" w:pos="5364"/>
        </w:tabs>
        <w:ind w:left="5364" w:hanging="360"/>
      </w:pPr>
      <w:rPr>
        <w:rFonts w:ascii="Courier New" w:hAnsi="Courier New" w:cs="Courier New" w:hint="default"/>
      </w:rPr>
    </w:lvl>
    <w:lvl w:ilvl="5" w:tplc="300A0005" w:tentative="1">
      <w:start w:val="1"/>
      <w:numFmt w:val="bullet"/>
      <w:lvlText w:val=""/>
      <w:lvlJc w:val="left"/>
      <w:pPr>
        <w:tabs>
          <w:tab w:val="num" w:pos="6084"/>
        </w:tabs>
        <w:ind w:left="6084" w:hanging="360"/>
      </w:pPr>
      <w:rPr>
        <w:rFonts w:ascii="Wingdings" w:hAnsi="Wingdings" w:hint="default"/>
      </w:rPr>
    </w:lvl>
    <w:lvl w:ilvl="6" w:tplc="300A0001" w:tentative="1">
      <w:start w:val="1"/>
      <w:numFmt w:val="bullet"/>
      <w:lvlText w:val=""/>
      <w:lvlJc w:val="left"/>
      <w:pPr>
        <w:tabs>
          <w:tab w:val="num" w:pos="6804"/>
        </w:tabs>
        <w:ind w:left="6804" w:hanging="360"/>
      </w:pPr>
      <w:rPr>
        <w:rFonts w:ascii="Symbol" w:hAnsi="Symbol" w:hint="default"/>
      </w:rPr>
    </w:lvl>
    <w:lvl w:ilvl="7" w:tplc="300A0003" w:tentative="1">
      <w:start w:val="1"/>
      <w:numFmt w:val="bullet"/>
      <w:lvlText w:val="o"/>
      <w:lvlJc w:val="left"/>
      <w:pPr>
        <w:tabs>
          <w:tab w:val="num" w:pos="7524"/>
        </w:tabs>
        <w:ind w:left="7524" w:hanging="360"/>
      </w:pPr>
      <w:rPr>
        <w:rFonts w:ascii="Courier New" w:hAnsi="Courier New" w:cs="Courier New" w:hint="default"/>
      </w:rPr>
    </w:lvl>
    <w:lvl w:ilvl="8" w:tplc="300A0005" w:tentative="1">
      <w:start w:val="1"/>
      <w:numFmt w:val="bullet"/>
      <w:lvlText w:val=""/>
      <w:lvlJc w:val="left"/>
      <w:pPr>
        <w:tabs>
          <w:tab w:val="num" w:pos="8244"/>
        </w:tabs>
        <w:ind w:left="8244" w:hanging="360"/>
      </w:pPr>
      <w:rPr>
        <w:rFonts w:ascii="Wingdings" w:hAnsi="Wingdings" w:hint="default"/>
      </w:rPr>
    </w:lvl>
  </w:abstractNum>
  <w:abstractNum w:abstractNumId="13">
    <w:nsid w:val="29111CAC"/>
    <w:multiLevelType w:val="hybridMultilevel"/>
    <w:tmpl w:val="6B2036C6"/>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4">
    <w:nsid w:val="2AFA620A"/>
    <w:multiLevelType w:val="hybridMultilevel"/>
    <w:tmpl w:val="E918C3F4"/>
    <w:lvl w:ilvl="0" w:tplc="E89416F0">
      <w:start w:val="1"/>
      <w:numFmt w:val="lowerLetter"/>
      <w:lvlText w:val="%1)"/>
      <w:lvlJc w:val="left"/>
      <w:pPr>
        <w:tabs>
          <w:tab w:val="num" w:pos="2136"/>
        </w:tabs>
        <w:ind w:left="2136" w:hanging="360"/>
      </w:pPr>
      <w:rPr>
        <w:b/>
      </w:rPr>
    </w:lvl>
    <w:lvl w:ilvl="1" w:tplc="300A0019" w:tentative="1">
      <w:start w:val="1"/>
      <w:numFmt w:val="lowerLetter"/>
      <w:lvlText w:val="%2."/>
      <w:lvlJc w:val="left"/>
      <w:pPr>
        <w:tabs>
          <w:tab w:val="num" w:pos="2856"/>
        </w:tabs>
        <w:ind w:left="2856" w:hanging="360"/>
      </w:pPr>
    </w:lvl>
    <w:lvl w:ilvl="2" w:tplc="300A001B" w:tentative="1">
      <w:start w:val="1"/>
      <w:numFmt w:val="lowerRoman"/>
      <w:lvlText w:val="%3."/>
      <w:lvlJc w:val="right"/>
      <w:pPr>
        <w:tabs>
          <w:tab w:val="num" w:pos="3576"/>
        </w:tabs>
        <w:ind w:left="3576" w:hanging="180"/>
      </w:pPr>
    </w:lvl>
    <w:lvl w:ilvl="3" w:tplc="300A000F" w:tentative="1">
      <w:start w:val="1"/>
      <w:numFmt w:val="decimal"/>
      <w:lvlText w:val="%4."/>
      <w:lvlJc w:val="left"/>
      <w:pPr>
        <w:tabs>
          <w:tab w:val="num" w:pos="4296"/>
        </w:tabs>
        <w:ind w:left="4296" w:hanging="360"/>
      </w:pPr>
    </w:lvl>
    <w:lvl w:ilvl="4" w:tplc="300A0019" w:tentative="1">
      <w:start w:val="1"/>
      <w:numFmt w:val="lowerLetter"/>
      <w:lvlText w:val="%5."/>
      <w:lvlJc w:val="left"/>
      <w:pPr>
        <w:tabs>
          <w:tab w:val="num" w:pos="5016"/>
        </w:tabs>
        <w:ind w:left="5016" w:hanging="360"/>
      </w:pPr>
    </w:lvl>
    <w:lvl w:ilvl="5" w:tplc="300A001B" w:tentative="1">
      <w:start w:val="1"/>
      <w:numFmt w:val="lowerRoman"/>
      <w:lvlText w:val="%6."/>
      <w:lvlJc w:val="right"/>
      <w:pPr>
        <w:tabs>
          <w:tab w:val="num" w:pos="5736"/>
        </w:tabs>
        <w:ind w:left="5736" w:hanging="180"/>
      </w:pPr>
    </w:lvl>
    <w:lvl w:ilvl="6" w:tplc="300A000F" w:tentative="1">
      <w:start w:val="1"/>
      <w:numFmt w:val="decimal"/>
      <w:lvlText w:val="%7."/>
      <w:lvlJc w:val="left"/>
      <w:pPr>
        <w:tabs>
          <w:tab w:val="num" w:pos="6456"/>
        </w:tabs>
        <w:ind w:left="6456" w:hanging="360"/>
      </w:pPr>
    </w:lvl>
    <w:lvl w:ilvl="7" w:tplc="300A0019" w:tentative="1">
      <w:start w:val="1"/>
      <w:numFmt w:val="lowerLetter"/>
      <w:lvlText w:val="%8."/>
      <w:lvlJc w:val="left"/>
      <w:pPr>
        <w:tabs>
          <w:tab w:val="num" w:pos="7176"/>
        </w:tabs>
        <w:ind w:left="7176" w:hanging="360"/>
      </w:pPr>
    </w:lvl>
    <w:lvl w:ilvl="8" w:tplc="300A001B" w:tentative="1">
      <w:start w:val="1"/>
      <w:numFmt w:val="lowerRoman"/>
      <w:lvlText w:val="%9."/>
      <w:lvlJc w:val="right"/>
      <w:pPr>
        <w:tabs>
          <w:tab w:val="num" w:pos="7896"/>
        </w:tabs>
        <w:ind w:left="7896" w:hanging="180"/>
      </w:pPr>
    </w:lvl>
  </w:abstractNum>
  <w:abstractNum w:abstractNumId="15">
    <w:nsid w:val="2D6A65B9"/>
    <w:multiLevelType w:val="multilevel"/>
    <w:tmpl w:val="18E67704"/>
    <w:lvl w:ilvl="0">
      <w:start w:val="1"/>
      <w:numFmt w:val="decimal"/>
      <w:lvlText w:val="%1."/>
      <w:lvlJc w:val="left"/>
      <w:pPr>
        <w:tabs>
          <w:tab w:val="num" w:pos="465"/>
        </w:tabs>
        <w:ind w:left="465" w:hanging="465"/>
      </w:pPr>
      <w:rPr>
        <w:rFonts w:hint="default"/>
      </w:rPr>
    </w:lvl>
    <w:lvl w:ilvl="1">
      <w:start w:val="1"/>
      <w:numFmt w:val="decimal"/>
      <w:lvlText w:val="3.%2."/>
      <w:lvlJc w:val="left"/>
      <w:pPr>
        <w:tabs>
          <w:tab w:val="num" w:pos="1797"/>
        </w:tabs>
        <w:ind w:left="1797" w:hanging="720"/>
      </w:pPr>
      <w:rPr>
        <w:rFonts w:hint="default"/>
      </w:rPr>
    </w:lvl>
    <w:lvl w:ilvl="2">
      <w:start w:val="1"/>
      <w:numFmt w:val="decimal"/>
      <w:lvlText w:val="%1.%2.%3."/>
      <w:lvlJc w:val="left"/>
      <w:pPr>
        <w:tabs>
          <w:tab w:val="num" w:pos="2874"/>
        </w:tabs>
        <w:ind w:left="2874" w:hanging="720"/>
      </w:pPr>
      <w:rPr>
        <w:rFonts w:hint="default"/>
      </w:rPr>
    </w:lvl>
    <w:lvl w:ilvl="3">
      <w:start w:val="1"/>
      <w:numFmt w:val="decimal"/>
      <w:lvlText w:val="%1.%2.%3.%4."/>
      <w:lvlJc w:val="left"/>
      <w:pPr>
        <w:tabs>
          <w:tab w:val="num" w:pos="4311"/>
        </w:tabs>
        <w:ind w:left="4311" w:hanging="1080"/>
      </w:pPr>
      <w:rPr>
        <w:rFonts w:hint="default"/>
      </w:rPr>
    </w:lvl>
    <w:lvl w:ilvl="4">
      <w:start w:val="1"/>
      <w:numFmt w:val="decimal"/>
      <w:lvlText w:val="%1.%2.%3.%4.%5."/>
      <w:lvlJc w:val="left"/>
      <w:pPr>
        <w:tabs>
          <w:tab w:val="num" w:pos="5388"/>
        </w:tabs>
        <w:ind w:left="5388" w:hanging="1080"/>
      </w:pPr>
      <w:rPr>
        <w:rFonts w:hint="default"/>
      </w:rPr>
    </w:lvl>
    <w:lvl w:ilvl="5">
      <w:start w:val="1"/>
      <w:numFmt w:val="decimal"/>
      <w:lvlText w:val="%1.%2.%3.%4.%5.%6."/>
      <w:lvlJc w:val="left"/>
      <w:pPr>
        <w:tabs>
          <w:tab w:val="num" w:pos="6825"/>
        </w:tabs>
        <w:ind w:left="6825" w:hanging="1440"/>
      </w:pPr>
      <w:rPr>
        <w:rFonts w:hint="default"/>
      </w:rPr>
    </w:lvl>
    <w:lvl w:ilvl="6">
      <w:start w:val="1"/>
      <w:numFmt w:val="decimal"/>
      <w:lvlText w:val="%1.%2.%3.%4.%5.%6.%7."/>
      <w:lvlJc w:val="left"/>
      <w:pPr>
        <w:tabs>
          <w:tab w:val="num" w:pos="7902"/>
        </w:tabs>
        <w:ind w:left="7902" w:hanging="1440"/>
      </w:pPr>
      <w:rPr>
        <w:rFonts w:hint="default"/>
      </w:rPr>
    </w:lvl>
    <w:lvl w:ilvl="7">
      <w:start w:val="1"/>
      <w:numFmt w:val="decimal"/>
      <w:lvlText w:val="%1.%2.%3.%4.%5.%6.%7.%8."/>
      <w:lvlJc w:val="left"/>
      <w:pPr>
        <w:tabs>
          <w:tab w:val="num" w:pos="9339"/>
        </w:tabs>
        <w:ind w:left="9339" w:hanging="1800"/>
      </w:pPr>
      <w:rPr>
        <w:rFonts w:hint="default"/>
      </w:rPr>
    </w:lvl>
    <w:lvl w:ilvl="8">
      <w:start w:val="1"/>
      <w:numFmt w:val="decimal"/>
      <w:lvlText w:val="%1.%2.%3.%4.%5.%6.%7.%8.%9."/>
      <w:lvlJc w:val="left"/>
      <w:pPr>
        <w:tabs>
          <w:tab w:val="num" w:pos="10776"/>
        </w:tabs>
        <w:ind w:left="10776" w:hanging="2160"/>
      </w:pPr>
      <w:rPr>
        <w:rFonts w:hint="default"/>
      </w:rPr>
    </w:lvl>
  </w:abstractNum>
  <w:abstractNum w:abstractNumId="16">
    <w:nsid w:val="2EA946D3"/>
    <w:multiLevelType w:val="hybridMultilevel"/>
    <w:tmpl w:val="BA5CEF44"/>
    <w:lvl w:ilvl="0" w:tplc="300A0001">
      <w:start w:val="1"/>
      <w:numFmt w:val="bullet"/>
      <w:lvlText w:val=""/>
      <w:lvlJc w:val="left"/>
      <w:pPr>
        <w:tabs>
          <w:tab w:val="num" w:pos="2157"/>
        </w:tabs>
        <w:ind w:left="2157" w:hanging="360"/>
      </w:pPr>
      <w:rPr>
        <w:rFonts w:ascii="Symbol" w:hAnsi="Symbol" w:hint="default"/>
      </w:rPr>
    </w:lvl>
    <w:lvl w:ilvl="1" w:tplc="300A0003" w:tentative="1">
      <w:start w:val="1"/>
      <w:numFmt w:val="bullet"/>
      <w:lvlText w:val="o"/>
      <w:lvlJc w:val="left"/>
      <w:pPr>
        <w:tabs>
          <w:tab w:val="num" w:pos="2877"/>
        </w:tabs>
        <w:ind w:left="2877" w:hanging="360"/>
      </w:pPr>
      <w:rPr>
        <w:rFonts w:ascii="Courier New" w:hAnsi="Courier New" w:cs="Courier New" w:hint="default"/>
      </w:rPr>
    </w:lvl>
    <w:lvl w:ilvl="2" w:tplc="300A0005" w:tentative="1">
      <w:start w:val="1"/>
      <w:numFmt w:val="bullet"/>
      <w:lvlText w:val=""/>
      <w:lvlJc w:val="left"/>
      <w:pPr>
        <w:tabs>
          <w:tab w:val="num" w:pos="3597"/>
        </w:tabs>
        <w:ind w:left="3597" w:hanging="360"/>
      </w:pPr>
      <w:rPr>
        <w:rFonts w:ascii="Wingdings" w:hAnsi="Wingdings" w:hint="default"/>
      </w:rPr>
    </w:lvl>
    <w:lvl w:ilvl="3" w:tplc="300A0001" w:tentative="1">
      <w:start w:val="1"/>
      <w:numFmt w:val="bullet"/>
      <w:lvlText w:val=""/>
      <w:lvlJc w:val="left"/>
      <w:pPr>
        <w:tabs>
          <w:tab w:val="num" w:pos="4317"/>
        </w:tabs>
        <w:ind w:left="4317" w:hanging="360"/>
      </w:pPr>
      <w:rPr>
        <w:rFonts w:ascii="Symbol" w:hAnsi="Symbol" w:hint="default"/>
      </w:rPr>
    </w:lvl>
    <w:lvl w:ilvl="4" w:tplc="300A0003" w:tentative="1">
      <w:start w:val="1"/>
      <w:numFmt w:val="bullet"/>
      <w:lvlText w:val="o"/>
      <w:lvlJc w:val="left"/>
      <w:pPr>
        <w:tabs>
          <w:tab w:val="num" w:pos="5037"/>
        </w:tabs>
        <w:ind w:left="5037" w:hanging="360"/>
      </w:pPr>
      <w:rPr>
        <w:rFonts w:ascii="Courier New" w:hAnsi="Courier New" w:cs="Courier New" w:hint="default"/>
      </w:rPr>
    </w:lvl>
    <w:lvl w:ilvl="5" w:tplc="300A0005" w:tentative="1">
      <w:start w:val="1"/>
      <w:numFmt w:val="bullet"/>
      <w:lvlText w:val=""/>
      <w:lvlJc w:val="left"/>
      <w:pPr>
        <w:tabs>
          <w:tab w:val="num" w:pos="5757"/>
        </w:tabs>
        <w:ind w:left="5757" w:hanging="360"/>
      </w:pPr>
      <w:rPr>
        <w:rFonts w:ascii="Wingdings" w:hAnsi="Wingdings" w:hint="default"/>
      </w:rPr>
    </w:lvl>
    <w:lvl w:ilvl="6" w:tplc="300A0001" w:tentative="1">
      <w:start w:val="1"/>
      <w:numFmt w:val="bullet"/>
      <w:lvlText w:val=""/>
      <w:lvlJc w:val="left"/>
      <w:pPr>
        <w:tabs>
          <w:tab w:val="num" w:pos="6477"/>
        </w:tabs>
        <w:ind w:left="6477" w:hanging="360"/>
      </w:pPr>
      <w:rPr>
        <w:rFonts w:ascii="Symbol" w:hAnsi="Symbol" w:hint="default"/>
      </w:rPr>
    </w:lvl>
    <w:lvl w:ilvl="7" w:tplc="300A0003" w:tentative="1">
      <w:start w:val="1"/>
      <w:numFmt w:val="bullet"/>
      <w:lvlText w:val="o"/>
      <w:lvlJc w:val="left"/>
      <w:pPr>
        <w:tabs>
          <w:tab w:val="num" w:pos="7197"/>
        </w:tabs>
        <w:ind w:left="7197" w:hanging="360"/>
      </w:pPr>
      <w:rPr>
        <w:rFonts w:ascii="Courier New" w:hAnsi="Courier New" w:cs="Courier New" w:hint="default"/>
      </w:rPr>
    </w:lvl>
    <w:lvl w:ilvl="8" w:tplc="300A0005" w:tentative="1">
      <w:start w:val="1"/>
      <w:numFmt w:val="bullet"/>
      <w:lvlText w:val=""/>
      <w:lvlJc w:val="left"/>
      <w:pPr>
        <w:tabs>
          <w:tab w:val="num" w:pos="7917"/>
        </w:tabs>
        <w:ind w:left="7917" w:hanging="360"/>
      </w:pPr>
      <w:rPr>
        <w:rFonts w:ascii="Wingdings" w:hAnsi="Wingdings" w:hint="default"/>
      </w:rPr>
    </w:lvl>
  </w:abstractNum>
  <w:abstractNum w:abstractNumId="17">
    <w:nsid w:val="328264C2"/>
    <w:multiLevelType w:val="hybridMultilevel"/>
    <w:tmpl w:val="79C26D50"/>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8">
    <w:nsid w:val="33132352"/>
    <w:multiLevelType w:val="multilevel"/>
    <w:tmpl w:val="8B282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B53DCE"/>
    <w:multiLevelType w:val="hybridMultilevel"/>
    <w:tmpl w:val="8BB4FE56"/>
    <w:lvl w:ilvl="0" w:tplc="9DE0451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C653E09"/>
    <w:multiLevelType w:val="hybridMultilevel"/>
    <w:tmpl w:val="BE262DB2"/>
    <w:lvl w:ilvl="0" w:tplc="0C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1">
    <w:nsid w:val="3D872662"/>
    <w:multiLevelType w:val="hybridMultilevel"/>
    <w:tmpl w:val="5F92C15A"/>
    <w:lvl w:ilvl="0" w:tplc="64EAF840">
      <w:start w:val="3"/>
      <w:numFmt w:val="decimal"/>
      <w:lvlText w:val="%1."/>
      <w:lvlJc w:val="left"/>
      <w:pPr>
        <w:tabs>
          <w:tab w:val="num" w:pos="360"/>
        </w:tabs>
        <w:ind w:left="360" w:hanging="360"/>
      </w:pPr>
      <w:rPr>
        <w:rFonts w:hint="default"/>
      </w:rPr>
    </w:lvl>
    <w:lvl w:ilvl="1" w:tplc="300A0019" w:tentative="1">
      <w:start w:val="1"/>
      <w:numFmt w:val="lowerLetter"/>
      <w:lvlText w:val="%2."/>
      <w:lvlJc w:val="left"/>
      <w:pPr>
        <w:tabs>
          <w:tab w:val="num" w:pos="-360"/>
        </w:tabs>
        <w:ind w:left="-360" w:hanging="360"/>
      </w:pPr>
    </w:lvl>
    <w:lvl w:ilvl="2" w:tplc="300A001B" w:tentative="1">
      <w:start w:val="1"/>
      <w:numFmt w:val="lowerRoman"/>
      <w:lvlText w:val="%3."/>
      <w:lvlJc w:val="right"/>
      <w:pPr>
        <w:tabs>
          <w:tab w:val="num" w:pos="360"/>
        </w:tabs>
        <w:ind w:left="360" w:hanging="180"/>
      </w:pPr>
    </w:lvl>
    <w:lvl w:ilvl="3" w:tplc="300A000F" w:tentative="1">
      <w:start w:val="1"/>
      <w:numFmt w:val="decimal"/>
      <w:lvlText w:val="%4."/>
      <w:lvlJc w:val="left"/>
      <w:pPr>
        <w:tabs>
          <w:tab w:val="num" w:pos="1080"/>
        </w:tabs>
        <w:ind w:left="1080" w:hanging="360"/>
      </w:pPr>
    </w:lvl>
    <w:lvl w:ilvl="4" w:tplc="300A0019" w:tentative="1">
      <w:start w:val="1"/>
      <w:numFmt w:val="lowerLetter"/>
      <w:lvlText w:val="%5."/>
      <w:lvlJc w:val="left"/>
      <w:pPr>
        <w:tabs>
          <w:tab w:val="num" w:pos="1800"/>
        </w:tabs>
        <w:ind w:left="1800" w:hanging="360"/>
      </w:pPr>
    </w:lvl>
    <w:lvl w:ilvl="5" w:tplc="300A001B" w:tentative="1">
      <w:start w:val="1"/>
      <w:numFmt w:val="lowerRoman"/>
      <w:lvlText w:val="%6."/>
      <w:lvlJc w:val="right"/>
      <w:pPr>
        <w:tabs>
          <w:tab w:val="num" w:pos="2520"/>
        </w:tabs>
        <w:ind w:left="2520" w:hanging="180"/>
      </w:pPr>
    </w:lvl>
    <w:lvl w:ilvl="6" w:tplc="300A000F" w:tentative="1">
      <w:start w:val="1"/>
      <w:numFmt w:val="decimal"/>
      <w:lvlText w:val="%7."/>
      <w:lvlJc w:val="left"/>
      <w:pPr>
        <w:tabs>
          <w:tab w:val="num" w:pos="3240"/>
        </w:tabs>
        <w:ind w:left="3240" w:hanging="360"/>
      </w:pPr>
    </w:lvl>
    <w:lvl w:ilvl="7" w:tplc="300A0019" w:tentative="1">
      <w:start w:val="1"/>
      <w:numFmt w:val="lowerLetter"/>
      <w:lvlText w:val="%8."/>
      <w:lvlJc w:val="left"/>
      <w:pPr>
        <w:tabs>
          <w:tab w:val="num" w:pos="3960"/>
        </w:tabs>
        <w:ind w:left="3960" w:hanging="360"/>
      </w:pPr>
    </w:lvl>
    <w:lvl w:ilvl="8" w:tplc="300A001B" w:tentative="1">
      <w:start w:val="1"/>
      <w:numFmt w:val="lowerRoman"/>
      <w:lvlText w:val="%9."/>
      <w:lvlJc w:val="right"/>
      <w:pPr>
        <w:tabs>
          <w:tab w:val="num" w:pos="4680"/>
        </w:tabs>
        <w:ind w:left="4680" w:hanging="180"/>
      </w:pPr>
    </w:lvl>
  </w:abstractNum>
  <w:abstractNum w:abstractNumId="22">
    <w:nsid w:val="3EA635A9"/>
    <w:multiLevelType w:val="hybridMultilevel"/>
    <w:tmpl w:val="9D3EFD4C"/>
    <w:lvl w:ilvl="0" w:tplc="300A0017">
      <w:start w:val="1"/>
      <w:numFmt w:val="lowerLetter"/>
      <w:lvlText w:val="%1)"/>
      <w:lvlJc w:val="left"/>
      <w:pPr>
        <w:tabs>
          <w:tab w:val="num" w:pos="2496"/>
        </w:tabs>
        <w:ind w:left="2496" w:hanging="360"/>
      </w:pPr>
    </w:lvl>
    <w:lvl w:ilvl="1" w:tplc="300A0019" w:tentative="1">
      <w:start w:val="1"/>
      <w:numFmt w:val="lowerLetter"/>
      <w:lvlText w:val="%2."/>
      <w:lvlJc w:val="left"/>
      <w:pPr>
        <w:tabs>
          <w:tab w:val="num" w:pos="3216"/>
        </w:tabs>
        <w:ind w:left="3216" w:hanging="360"/>
      </w:pPr>
    </w:lvl>
    <w:lvl w:ilvl="2" w:tplc="300A001B" w:tentative="1">
      <w:start w:val="1"/>
      <w:numFmt w:val="lowerRoman"/>
      <w:lvlText w:val="%3."/>
      <w:lvlJc w:val="right"/>
      <w:pPr>
        <w:tabs>
          <w:tab w:val="num" w:pos="3936"/>
        </w:tabs>
        <w:ind w:left="3936" w:hanging="180"/>
      </w:pPr>
    </w:lvl>
    <w:lvl w:ilvl="3" w:tplc="300A000F" w:tentative="1">
      <w:start w:val="1"/>
      <w:numFmt w:val="decimal"/>
      <w:lvlText w:val="%4."/>
      <w:lvlJc w:val="left"/>
      <w:pPr>
        <w:tabs>
          <w:tab w:val="num" w:pos="4656"/>
        </w:tabs>
        <w:ind w:left="4656" w:hanging="360"/>
      </w:pPr>
    </w:lvl>
    <w:lvl w:ilvl="4" w:tplc="300A0019" w:tentative="1">
      <w:start w:val="1"/>
      <w:numFmt w:val="lowerLetter"/>
      <w:lvlText w:val="%5."/>
      <w:lvlJc w:val="left"/>
      <w:pPr>
        <w:tabs>
          <w:tab w:val="num" w:pos="5376"/>
        </w:tabs>
        <w:ind w:left="5376" w:hanging="360"/>
      </w:pPr>
    </w:lvl>
    <w:lvl w:ilvl="5" w:tplc="300A001B" w:tentative="1">
      <w:start w:val="1"/>
      <w:numFmt w:val="lowerRoman"/>
      <w:lvlText w:val="%6."/>
      <w:lvlJc w:val="right"/>
      <w:pPr>
        <w:tabs>
          <w:tab w:val="num" w:pos="6096"/>
        </w:tabs>
        <w:ind w:left="6096" w:hanging="180"/>
      </w:pPr>
    </w:lvl>
    <w:lvl w:ilvl="6" w:tplc="300A000F" w:tentative="1">
      <w:start w:val="1"/>
      <w:numFmt w:val="decimal"/>
      <w:lvlText w:val="%7."/>
      <w:lvlJc w:val="left"/>
      <w:pPr>
        <w:tabs>
          <w:tab w:val="num" w:pos="6816"/>
        </w:tabs>
        <w:ind w:left="6816" w:hanging="360"/>
      </w:pPr>
    </w:lvl>
    <w:lvl w:ilvl="7" w:tplc="300A0019" w:tentative="1">
      <w:start w:val="1"/>
      <w:numFmt w:val="lowerLetter"/>
      <w:lvlText w:val="%8."/>
      <w:lvlJc w:val="left"/>
      <w:pPr>
        <w:tabs>
          <w:tab w:val="num" w:pos="7536"/>
        </w:tabs>
        <w:ind w:left="7536" w:hanging="360"/>
      </w:pPr>
    </w:lvl>
    <w:lvl w:ilvl="8" w:tplc="300A001B" w:tentative="1">
      <w:start w:val="1"/>
      <w:numFmt w:val="lowerRoman"/>
      <w:lvlText w:val="%9."/>
      <w:lvlJc w:val="right"/>
      <w:pPr>
        <w:tabs>
          <w:tab w:val="num" w:pos="8256"/>
        </w:tabs>
        <w:ind w:left="8256" w:hanging="180"/>
      </w:pPr>
    </w:lvl>
  </w:abstractNum>
  <w:abstractNum w:abstractNumId="23">
    <w:nsid w:val="403502BA"/>
    <w:multiLevelType w:val="hybridMultilevel"/>
    <w:tmpl w:val="A1303DBA"/>
    <w:lvl w:ilvl="0" w:tplc="300A0009">
      <w:start w:val="1"/>
      <w:numFmt w:val="bullet"/>
      <w:lvlText w:val=""/>
      <w:lvlJc w:val="left"/>
      <w:pPr>
        <w:tabs>
          <w:tab w:val="num" w:pos="2517"/>
        </w:tabs>
        <w:ind w:left="2517" w:hanging="360"/>
      </w:pPr>
      <w:rPr>
        <w:rFonts w:ascii="Wingdings" w:hAnsi="Wingdings" w:hint="default"/>
      </w:rPr>
    </w:lvl>
    <w:lvl w:ilvl="1" w:tplc="300A0003" w:tentative="1">
      <w:start w:val="1"/>
      <w:numFmt w:val="bullet"/>
      <w:lvlText w:val="o"/>
      <w:lvlJc w:val="left"/>
      <w:pPr>
        <w:tabs>
          <w:tab w:val="num" w:pos="3237"/>
        </w:tabs>
        <w:ind w:left="3237" w:hanging="360"/>
      </w:pPr>
      <w:rPr>
        <w:rFonts w:ascii="Courier New" w:hAnsi="Courier New" w:cs="Courier New" w:hint="default"/>
      </w:rPr>
    </w:lvl>
    <w:lvl w:ilvl="2" w:tplc="300A0005" w:tentative="1">
      <w:start w:val="1"/>
      <w:numFmt w:val="bullet"/>
      <w:lvlText w:val=""/>
      <w:lvlJc w:val="left"/>
      <w:pPr>
        <w:tabs>
          <w:tab w:val="num" w:pos="3957"/>
        </w:tabs>
        <w:ind w:left="3957" w:hanging="360"/>
      </w:pPr>
      <w:rPr>
        <w:rFonts w:ascii="Wingdings" w:hAnsi="Wingdings" w:hint="default"/>
      </w:rPr>
    </w:lvl>
    <w:lvl w:ilvl="3" w:tplc="300A0001" w:tentative="1">
      <w:start w:val="1"/>
      <w:numFmt w:val="bullet"/>
      <w:lvlText w:val=""/>
      <w:lvlJc w:val="left"/>
      <w:pPr>
        <w:tabs>
          <w:tab w:val="num" w:pos="4677"/>
        </w:tabs>
        <w:ind w:left="4677" w:hanging="360"/>
      </w:pPr>
      <w:rPr>
        <w:rFonts w:ascii="Symbol" w:hAnsi="Symbol" w:hint="default"/>
      </w:rPr>
    </w:lvl>
    <w:lvl w:ilvl="4" w:tplc="300A0003" w:tentative="1">
      <w:start w:val="1"/>
      <w:numFmt w:val="bullet"/>
      <w:lvlText w:val="o"/>
      <w:lvlJc w:val="left"/>
      <w:pPr>
        <w:tabs>
          <w:tab w:val="num" w:pos="5397"/>
        </w:tabs>
        <w:ind w:left="5397" w:hanging="360"/>
      </w:pPr>
      <w:rPr>
        <w:rFonts w:ascii="Courier New" w:hAnsi="Courier New" w:cs="Courier New" w:hint="default"/>
      </w:rPr>
    </w:lvl>
    <w:lvl w:ilvl="5" w:tplc="300A0005" w:tentative="1">
      <w:start w:val="1"/>
      <w:numFmt w:val="bullet"/>
      <w:lvlText w:val=""/>
      <w:lvlJc w:val="left"/>
      <w:pPr>
        <w:tabs>
          <w:tab w:val="num" w:pos="6117"/>
        </w:tabs>
        <w:ind w:left="6117" w:hanging="360"/>
      </w:pPr>
      <w:rPr>
        <w:rFonts w:ascii="Wingdings" w:hAnsi="Wingdings" w:hint="default"/>
      </w:rPr>
    </w:lvl>
    <w:lvl w:ilvl="6" w:tplc="300A0001" w:tentative="1">
      <w:start w:val="1"/>
      <w:numFmt w:val="bullet"/>
      <w:lvlText w:val=""/>
      <w:lvlJc w:val="left"/>
      <w:pPr>
        <w:tabs>
          <w:tab w:val="num" w:pos="6837"/>
        </w:tabs>
        <w:ind w:left="6837" w:hanging="360"/>
      </w:pPr>
      <w:rPr>
        <w:rFonts w:ascii="Symbol" w:hAnsi="Symbol" w:hint="default"/>
      </w:rPr>
    </w:lvl>
    <w:lvl w:ilvl="7" w:tplc="300A0003" w:tentative="1">
      <w:start w:val="1"/>
      <w:numFmt w:val="bullet"/>
      <w:lvlText w:val="o"/>
      <w:lvlJc w:val="left"/>
      <w:pPr>
        <w:tabs>
          <w:tab w:val="num" w:pos="7557"/>
        </w:tabs>
        <w:ind w:left="7557" w:hanging="360"/>
      </w:pPr>
      <w:rPr>
        <w:rFonts w:ascii="Courier New" w:hAnsi="Courier New" w:cs="Courier New" w:hint="default"/>
      </w:rPr>
    </w:lvl>
    <w:lvl w:ilvl="8" w:tplc="300A0005" w:tentative="1">
      <w:start w:val="1"/>
      <w:numFmt w:val="bullet"/>
      <w:lvlText w:val=""/>
      <w:lvlJc w:val="left"/>
      <w:pPr>
        <w:tabs>
          <w:tab w:val="num" w:pos="8277"/>
        </w:tabs>
        <w:ind w:left="8277" w:hanging="360"/>
      </w:pPr>
      <w:rPr>
        <w:rFonts w:ascii="Wingdings" w:hAnsi="Wingdings" w:hint="default"/>
      </w:rPr>
    </w:lvl>
  </w:abstractNum>
  <w:abstractNum w:abstractNumId="24">
    <w:nsid w:val="407D2EFF"/>
    <w:multiLevelType w:val="multilevel"/>
    <w:tmpl w:val="2E5E486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nsid w:val="52583AD6"/>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26">
    <w:nsid w:val="52BE7A84"/>
    <w:multiLevelType w:val="hybridMultilevel"/>
    <w:tmpl w:val="C7FCB36E"/>
    <w:lvl w:ilvl="0" w:tplc="752227D8">
      <w:start w:val="1"/>
      <w:numFmt w:val="bullet"/>
      <w:lvlText w:val=""/>
      <w:lvlJc w:val="left"/>
      <w:pPr>
        <w:tabs>
          <w:tab w:val="num" w:pos="3192"/>
        </w:tabs>
        <w:ind w:left="3192" w:hanging="360"/>
      </w:pPr>
      <w:rPr>
        <w:rFonts w:ascii="Wingdings" w:hAnsi="Wingdings" w:hint="default"/>
      </w:rPr>
    </w:lvl>
    <w:lvl w:ilvl="1" w:tplc="300A0003">
      <w:start w:val="1"/>
      <w:numFmt w:val="bullet"/>
      <w:lvlText w:val="o"/>
      <w:lvlJc w:val="left"/>
      <w:pPr>
        <w:tabs>
          <w:tab w:val="num" w:pos="3192"/>
        </w:tabs>
        <w:ind w:left="3192" w:hanging="360"/>
      </w:pPr>
      <w:rPr>
        <w:rFonts w:ascii="Courier New" w:hAnsi="Courier New" w:cs="Courier New" w:hint="default"/>
      </w:rPr>
    </w:lvl>
    <w:lvl w:ilvl="2" w:tplc="300A0005">
      <w:start w:val="1"/>
      <w:numFmt w:val="bullet"/>
      <w:lvlText w:val=""/>
      <w:lvlJc w:val="left"/>
      <w:pPr>
        <w:tabs>
          <w:tab w:val="num" w:pos="3912"/>
        </w:tabs>
        <w:ind w:left="3912" w:hanging="360"/>
      </w:pPr>
      <w:rPr>
        <w:rFonts w:ascii="Wingdings" w:hAnsi="Wingdings" w:hint="default"/>
      </w:rPr>
    </w:lvl>
    <w:lvl w:ilvl="3" w:tplc="300A0001">
      <w:start w:val="1"/>
      <w:numFmt w:val="bullet"/>
      <w:lvlText w:val=""/>
      <w:lvlJc w:val="left"/>
      <w:pPr>
        <w:tabs>
          <w:tab w:val="num" w:pos="4632"/>
        </w:tabs>
        <w:ind w:left="4632" w:hanging="360"/>
      </w:pPr>
      <w:rPr>
        <w:rFonts w:ascii="Symbol" w:hAnsi="Symbol" w:hint="default"/>
      </w:rPr>
    </w:lvl>
    <w:lvl w:ilvl="4" w:tplc="300A0003">
      <w:start w:val="1"/>
      <w:numFmt w:val="bullet"/>
      <w:lvlText w:val="o"/>
      <w:lvlJc w:val="left"/>
      <w:pPr>
        <w:tabs>
          <w:tab w:val="num" w:pos="5352"/>
        </w:tabs>
        <w:ind w:left="5352" w:hanging="360"/>
      </w:pPr>
      <w:rPr>
        <w:rFonts w:ascii="Courier New" w:hAnsi="Courier New" w:cs="Courier New" w:hint="default"/>
      </w:rPr>
    </w:lvl>
    <w:lvl w:ilvl="5" w:tplc="300A0005" w:tentative="1">
      <w:start w:val="1"/>
      <w:numFmt w:val="bullet"/>
      <w:lvlText w:val=""/>
      <w:lvlJc w:val="left"/>
      <w:pPr>
        <w:tabs>
          <w:tab w:val="num" w:pos="6072"/>
        </w:tabs>
        <w:ind w:left="6072" w:hanging="360"/>
      </w:pPr>
      <w:rPr>
        <w:rFonts w:ascii="Wingdings" w:hAnsi="Wingdings" w:hint="default"/>
      </w:rPr>
    </w:lvl>
    <w:lvl w:ilvl="6" w:tplc="300A0001" w:tentative="1">
      <w:start w:val="1"/>
      <w:numFmt w:val="bullet"/>
      <w:lvlText w:val=""/>
      <w:lvlJc w:val="left"/>
      <w:pPr>
        <w:tabs>
          <w:tab w:val="num" w:pos="6792"/>
        </w:tabs>
        <w:ind w:left="6792" w:hanging="360"/>
      </w:pPr>
      <w:rPr>
        <w:rFonts w:ascii="Symbol" w:hAnsi="Symbol" w:hint="default"/>
      </w:rPr>
    </w:lvl>
    <w:lvl w:ilvl="7" w:tplc="300A0003" w:tentative="1">
      <w:start w:val="1"/>
      <w:numFmt w:val="bullet"/>
      <w:lvlText w:val="o"/>
      <w:lvlJc w:val="left"/>
      <w:pPr>
        <w:tabs>
          <w:tab w:val="num" w:pos="7512"/>
        </w:tabs>
        <w:ind w:left="7512" w:hanging="360"/>
      </w:pPr>
      <w:rPr>
        <w:rFonts w:ascii="Courier New" w:hAnsi="Courier New" w:cs="Courier New" w:hint="default"/>
      </w:rPr>
    </w:lvl>
    <w:lvl w:ilvl="8" w:tplc="300A0005" w:tentative="1">
      <w:start w:val="1"/>
      <w:numFmt w:val="bullet"/>
      <w:lvlText w:val=""/>
      <w:lvlJc w:val="left"/>
      <w:pPr>
        <w:tabs>
          <w:tab w:val="num" w:pos="8232"/>
        </w:tabs>
        <w:ind w:left="8232" w:hanging="360"/>
      </w:pPr>
      <w:rPr>
        <w:rFonts w:ascii="Wingdings" w:hAnsi="Wingdings" w:hint="default"/>
      </w:rPr>
    </w:lvl>
  </w:abstractNum>
  <w:abstractNum w:abstractNumId="27">
    <w:nsid w:val="554B70D3"/>
    <w:multiLevelType w:val="hybridMultilevel"/>
    <w:tmpl w:val="5A3ACD74"/>
    <w:lvl w:ilvl="0" w:tplc="9FDC2FCA">
      <w:start w:val="1"/>
      <w:numFmt w:val="bullet"/>
      <w:lvlText w:val=""/>
      <w:lvlJc w:val="left"/>
      <w:pPr>
        <w:tabs>
          <w:tab w:val="num" w:pos="1199"/>
        </w:tabs>
        <w:ind w:left="1199" w:hanging="491"/>
      </w:pPr>
      <w:rPr>
        <w:rFonts w:ascii="Wingdings" w:hAnsi="Wingdings" w:hint="default"/>
      </w:rPr>
    </w:lvl>
    <w:lvl w:ilvl="1" w:tplc="9FDC2FCA">
      <w:start w:val="1"/>
      <w:numFmt w:val="bullet"/>
      <w:lvlText w:val=""/>
      <w:lvlJc w:val="left"/>
      <w:pPr>
        <w:tabs>
          <w:tab w:val="num" w:pos="1919"/>
        </w:tabs>
        <w:ind w:left="1919" w:hanging="491"/>
      </w:pPr>
      <w:rPr>
        <w:rFonts w:ascii="Wingdings" w:hAnsi="Wingdings" w:hint="default"/>
      </w:rPr>
    </w:lvl>
    <w:lvl w:ilvl="2" w:tplc="300A001B" w:tentative="1">
      <w:start w:val="1"/>
      <w:numFmt w:val="lowerRoman"/>
      <w:lvlText w:val="%3."/>
      <w:lvlJc w:val="right"/>
      <w:pPr>
        <w:tabs>
          <w:tab w:val="num" w:pos="2508"/>
        </w:tabs>
        <w:ind w:left="2508" w:hanging="180"/>
      </w:pPr>
    </w:lvl>
    <w:lvl w:ilvl="3" w:tplc="300A000F" w:tentative="1">
      <w:start w:val="1"/>
      <w:numFmt w:val="decimal"/>
      <w:lvlText w:val="%4."/>
      <w:lvlJc w:val="left"/>
      <w:pPr>
        <w:tabs>
          <w:tab w:val="num" w:pos="3228"/>
        </w:tabs>
        <w:ind w:left="3228" w:hanging="360"/>
      </w:pPr>
    </w:lvl>
    <w:lvl w:ilvl="4" w:tplc="300A0019" w:tentative="1">
      <w:start w:val="1"/>
      <w:numFmt w:val="lowerLetter"/>
      <w:lvlText w:val="%5."/>
      <w:lvlJc w:val="left"/>
      <w:pPr>
        <w:tabs>
          <w:tab w:val="num" w:pos="3948"/>
        </w:tabs>
        <w:ind w:left="3948" w:hanging="360"/>
      </w:pPr>
    </w:lvl>
    <w:lvl w:ilvl="5" w:tplc="300A001B" w:tentative="1">
      <w:start w:val="1"/>
      <w:numFmt w:val="lowerRoman"/>
      <w:lvlText w:val="%6."/>
      <w:lvlJc w:val="right"/>
      <w:pPr>
        <w:tabs>
          <w:tab w:val="num" w:pos="4668"/>
        </w:tabs>
        <w:ind w:left="4668" w:hanging="180"/>
      </w:pPr>
    </w:lvl>
    <w:lvl w:ilvl="6" w:tplc="300A000F" w:tentative="1">
      <w:start w:val="1"/>
      <w:numFmt w:val="decimal"/>
      <w:lvlText w:val="%7."/>
      <w:lvlJc w:val="left"/>
      <w:pPr>
        <w:tabs>
          <w:tab w:val="num" w:pos="5388"/>
        </w:tabs>
        <w:ind w:left="5388" w:hanging="360"/>
      </w:pPr>
    </w:lvl>
    <w:lvl w:ilvl="7" w:tplc="300A0019" w:tentative="1">
      <w:start w:val="1"/>
      <w:numFmt w:val="lowerLetter"/>
      <w:lvlText w:val="%8."/>
      <w:lvlJc w:val="left"/>
      <w:pPr>
        <w:tabs>
          <w:tab w:val="num" w:pos="6108"/>
        </w:tabs>
        <w:ind w:left="6108" w:hanging="360"/>
      </w:pPr>
    </w:lvl>
    <w:lvl w:ilvl="8" w:tplc="300A001B" w:tentative="1">
      <w:start w:val="1"/>
      <w:numFmt w:val="lowerRoman"/>
      <w:lvlText w:val="%9."/>
      <w:lvlJc w:val="right"/>
      <w:pPr>
        <w:tabs>
          <w:tab w:val="num" w:pos="6828"/>
        </w:tabs>
        <w:ind w:left="6828" w:hanging="180"/>
      </w:pPr>
    </w:lvl>
  </w:abstractNum>
  <w:abstractNum w:abstractNumId="28">
    <w:nsid w:val="56181FFB"/>
    <w:multiLevelType w:val="hybridMultilevel"/>
    <w:tmpl w:val="89285E4C"/>
    <w:lvl w:ilvl="0" w:tplc="9FDC2FCA">
      <w:start w:val="1"/>
      <w:numFmt w:val="bullet"/>
      <w:lvlText w:val=""/>
      <w:lvlJc w:val="left"/>
      <w:pPr>
        <w:tabs>
          <w:tab w:val="num" w:pos="2648"/>
        </w:tabs>
        <w:ind w:left="2648" w:hanging="491"/>
      </w:pPr>
      <w:rPr>
        <w:rFonts w:ascii="Wingdings" w:hAnsi="Wingdings" w:hint="default"/>
      </w:rPr>
    </w:lvl>
    <w:lvl w:ilvl="1" w:tplc="300A0003" w:tentative="1">
      <w:start w:val="1"/>
      <w:numFmt w:val="bullet"/>
      <w:lvlText w:val="o"/>
      <w:lvlJc w:val="left"/>
      <w:pPr>
        <w:tabs>
          <w:tab w:val="num" w:pos="3237"/>
        </w:tabs>
        <w:ind w:left="3237" w:hanging="360"/>
      </w:pPr>
      <w:rPr>
        <w:rFonts w:ascii="Courier New" w:hAnsi="Courier New" w:cs="Courier New" w:hint="default"/>
      </w:rPr>
    </w:lvl>
    <w:lvl w:ilvl="2" w:tplc="300A0005" w:tentative="1">
      <w:start w:val="1"/>
      <w:numFmt w:val="bullet"/>
      <w:lvlText w:val=""/>
      <w:lvlJc w:val="left"/>
      <w:pPr>
        <w:tabs>
          <w:tab w:val="num" w:pos="3957"/>
        </w:tabs>
        <w:ind w:left="3957" w:hanging="360"/>
      </w:pPr>
      <w:rPr>
        <w:rFonts w:ascii="Wingdings" w:hAnsi="Wingdings" w:hint="default"/>
      </w:rPr>
    </w:lvl>
    <w:lvl w:ilvl="3" w:tplc="300A0001" w:tentative="1">
      <w:start w:val="1"/>
      <w:numFmt w:val="bullet"/>
      <w:lvlText w:val=""/>
      <w:lvlJc w:val="left"/>
      <w:pPr>
        <w:tabs>
          <w:tab w:val="num" w:pos="4677"/>
        </w:tabs>
        <w:ind w:left="4677" w:hanging="360"/>
      </w:pPr>
      <w:rPr>
        <w:rFonts w:ascii="Symbol" w:hAnsi="Symbol" w:hint="default"/>
      </w:rPr>
    </w:lvl>
    <w:lvl w:ilvl="4" w:tplc="300A0003" w:tentative="1">
      <w:start w:val="1"/>
      <w:numFmt w:val="bullet"/>
      <w:lvlText w:val="o"/>
      <w:lvlJc w:val="left"/>
      <w:pPr>
        <w:tabs>
          <w:tab w:val="num" w:pos="5397"/>
        </w:tabs>
        <w:ind w:left="5397" w:hanging="360"/>
      </w:pPr>
      <w:rPr>
        <w:rFonts w:ascii="Courier New" w:hAnsi="Courier New" w:cs="Courier New" w:hint="default"/>
      </w:rPr>
    </w:lvl>
    <w:lvl w:ilvl="5" w:tplc="300A0005" w:tentative="1">
      <w:start w:val="1"/>
      <w:numFmt w:val="bullet"/>
      <w:lvlText w:val=""/>
      <w:lvlJc w:val="left"/>
      <w:pPr>
        <w:tabs>
          <w:tab w:val="num" w:pos="6117"/>
        </w:tabs>
        <w:ind w:left="6117" w:hanging="360"/>
      </w:pPr>
      <w:rPr>
        <w:rFonts w:ascii="Wingdings" w:hAnsi="Wingdings" w:hint="default"/>
      </w:rPr>
    </w:lvl>
    <w:lvl w:ilvl="6" w:tplc="300A0001" w:tentative="1">
      <w:start w:val="1"/>
      <w:numFmt w:val="bullet"/>
      <w:lvlText w:val=""/>
      <w:lvlJc w:val="left"/>
      <w:pPr>
        <w:tabs>
          <w:tab w:val="num" w:pos="6837"/>
        </w:tabs>
        <w:ind w:left="6837" w:hanging="360"/>
      </w:pPr>
      <w:rPr>
        <w:rFonts w:ascii="Symbol" w:hAnsi="Symbol" w:hint="default"/>
      </w:rPr>
    </w:lvl>
    <w:lvl w:ilvl="7" w:tplc="300A0003" w:tentative="1">
      <w:start w:val="1"/>
      <w:numFmt w:val="bullet"/>
      <w:lvlText w:val="o"/>
      <w:lvlJc w:val="left"/>
      <w:pPr>
        <w:tabs>
          <w:tab w:val="num" w:pos="7557"/>
        </w:tabs>
        <w:ind w:left="7557" w:hanging="360"/>
      </w:pPr>
      <w:rPr>
        <w:rFonts w:ascii="Courier New" w:hAnsi="Courier New" w:cs="Courier New" w:hint="default"/>
      </w:rPr>
    </w:lvl>
    <w:lvl w:ilvl="8" w:tplc="300A0005" w:tentative="1">
      <w:start w:val="1"/>
      <w:numFmt w:val="bullet"/>
      <w:lvlText w:val=""/>
      <w:lvlJc w:val="left"/>
      <w:pPr>
        <w:tabs>
          <w:tab w:val="num" w:pos="8277"/>
        </w:tabs>
        <w:ind w:left="8277" w:hanging="360"/>
      </w:pPr>
      <w:rPr>
        <w:rFonts w:ascii="Wingdings" w:hAnsi="Wingdings" w:hint="default"/>
      </w:rPr>
    </w:lvl>
  </w:abstractNum>
  <w:abstractNum w:abstractNumId="29">
    <w:nsid w:val="590C7282"/>
    <w:multiLevelType w:val="hybridMultilevel"/>
    <w:tmpl w:val="7234C5B4"/>
    <w:lvl w:ilvl="0" w:tplc="300A000F">
      <w:start w:val="1"/>
      <w:numFmt w:val="decimal"/>
      <w:lvlText w:val="%1."/>
      <w:lvlJc w:val="left"/>
      <w:pPr>
        <w:tabs>
          <w:tab w:val="num" w:pos="720"/>
        </w:tabs>
        <w:ind w:left="720" w:hanging="360"/>
      </w:pPr>
    </w:lvl>
    <w:lvl w:ilvl="1" w:tplc="300A0019">
      <w:start w:val="1"/>
      <w:numFmt w:val="lowerLetter"/>
      <w:lvlText w:val="%2."/>
      <w:lvlJc w:val="left"/>
      <w:pPr>
        <w:tabs>
          <w:tab w:val="num" w:pos="1440"/>
        </w:tabs>
        <w:ind w:left="1440" w:hanging="360"/>
      </w:pPr>
    </w:lvl>
    <w:lvl w:ilvl="2" w:tplc="300A001B">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30">
    <w:nsid w:val="5B242C8C"/>
    <w:multiLevelType w:val="hybridMultilevel"/>
    <w:tmpl w:val="74E4E07A"/>
    <w:lvl w:ilvl="0" w:tplc="300A0017">
      <w:start w:val="1"/>
      <w:numFmt w:val="lowerLetter"/>
      <w:lvlText w:val="%1)"/>
      <w:lvlJc w:val="left"/>
      <w:pPr>
        <w:tabs>
          <w:tab w:val="num" w:pos="2157"/>
        </w:tabs>
        <w:ind w:left="2157" w:hanging="360"/>
      </w:pPr>
    </w:lvl>
    <w:lvl w:ilvl="1" w:tplc="300A0019" w:tentative="1">
      <w:start w:val="1"/>
      <w:numFmt w:val="lowerLetter"/>
      <w:lvlText w:val="%2."/>
      <w:lvlJc w:val="left"/>
      <w:pPr>
        <w:tabs>
          <w:tab w:val="num" w:pos="2877"/>
        </w:tabs>
        <w:ind w:left="2877" w:hanging="360"/>
      </w:pPr>
    </w:lvl>
    <w:lvl w:ilvl="2" w:tplc="300A001B" w:tentative="1">
      <w:start w:val="1"/>
      <w:numFmt w:val="lowerRoman"/>
      <w:lvlText w:val="%3."/>
      <w:lvlJc w:val="right"/>
      <w:pPr>
        <w:tabs>
          <w:tab w:val="num" w:pos="3597"/>
        </w:tabs>
        <w:ind w:left="3597" w:hanging="180"/>
      </w:pPr>
    </w:lvl>
    <w:lvl w:ilvl="3" w:tplc="300A000F" w:tentative="1">
      <w:start w:val="1"/>
      <w:numFmt w:val="decimal"/>
      <w:lvlText w:val="%4."/>
      <w:lvlJc w:val="left"/>
      <w:pPr>
        <w:tabs>
          <w:tab w:val="num" w:pos="4317"/>
        </w:tabs>
        <w:ind w:left="4317" w:hanging="360"/>
      </w:pPr>
    </w:lvl>
    <w:lvl w:ilvl="4" w:tplc="300A0019" w:tentative="1">
      <w:start w:val="1"/>
      <w:numFmt w:val="lowerLetter"/>
      <w:lvlText w:val="%5."/>
      <w:lvlJc w:val="left"/>
      <w:pPr>
        <w:tabs>
          <w:tab w:val="num" w:pos="5037"/>
        </w:tabs>
        <w:ind w:left="5037" w:hanging="360"/>
      </w:pPr>
    </w:lvl>
    <w:lvl w:ilvl="5" w:tplc="300A001B" w:tentative="1">
      <w:start w:val="1"/>
      <w:numFmt w:val="lowerRoman"/>
      <w:lvlText w:val="%6."/>
      <w:lvlJc w:val="right"/>
      <w:pPr>
        <w:tabs>
          <w:tab w:val="num" w:pos="5757"/>
        </w:tabs>
        <w:ind w:left="5757" w:hanging="180"/>
      </w:pPr>
    </w:lvl>
    <w:lvl w:ilvl="6" w:tplc="300A000F" w:tentative="1">
      <w:start w:val="1"/>
      <w:numFmt w:val="decimal"/>
      <w:lvlText w:val="%7."/>
      <w:lvlJc w:val="left"/>
      <w:pPr>
        <w:tabs>
          <w:tab w:val="num" w:pos="6477"/>
        </w:tabs>
        <w:ind w:left="6477" w:hanging="360"/>
      </w:pPr>
    </w:lvl>
    <w:lvl w:ilvl="7" w:tplc="300A0019" w:tentative="1">
      <w:start w:val="1"/>
      <w:numFmt w:val="lowerLetter"/>
      <w:lvlText w:val="%8."/>
      <w:lvlJc w:val="left"/>
      <w:pPr>
        <w:tabs>
          <w:tab w:val="num" w:pos="7197"/>
        </w:tabs>
        <w:ind w:left="7197" w:hanging="360"/>
      </w:pPr>
    </w:lvl>
    <w:lvl w:ilvl="8" w:tplc="300A001B" w:tentative="1">
      <w:start w:val="1"/>
      <w:numFmt w:val="lowerRoman"/>
      <w:lvlText w:val="%9."/>
      <w:lvlJc w:val="right"/>
      <w:pPr>
        <w:tabs>
          <w:tab w:val="num" w:pos="7917"/>
        </w:tabs>
        <w:ind w:left="7917" w:hanging="180"/>
      </w:pPr>
    </w:lvl>
  </w:abstractNum>
  <w:abstractNum w:abstractNumId="31">
    <w:nsid w:val="5E651049"/>
    <w:multiLevelType w:val="hybridMultilevel"/>
    <w:tmpl w:val="E0FCE192"/>
    <w:lvl w:ilvl="0" w:tplc="300A0017">
      <w:start w:val="1"/>
      <w:numFmt w:val="lowerLetter"/>
      <w:lvlText w:val="%1)"/>
      <w:lvlJc w:val="left"/>
      <w:pPr>
        <w:tabs>
          <w:tab w:val="num" w:pos="2496"/>
        </w:tabs>
        <w:ind w:left="2496" w:hanging="360"/>
      </w:pPr>
    </w:lvl>
    <w:lvl w:ilvl="1" w:tplc="300A0019" w:tentative="1">
      <w:start w:val="1"/>
      <w:numFmt w:val="lowerLetter"/>
      <w:lvlText w:val="%2."/>
      <w:lvlJc w:val="left"/>
      <w:pPr>
        <w:tabs>
          <w:tab w:val="num" w:pos="3216"/>
        </w:tabs>
        <w:ind w:left="3216" w:hanging="360"/>
      </w:pPr>
    </w:lvl>
    <w:lvl w:ilvl="2" w:tplc="300A001B" w:tentative="1">
      <w:start w:val="1"/>
      <w:numFmt w:val="lowerRoman"/>
      <w:lvlText w:val="%3."/>
      <w:lvlJc w:val="right"/>
      <w:pPr>
        <w:tabs>
          <w:tab w:val="num" w:pos="3936"/>
        </w:tabs>
        <w:ind w:left="3936" w:hanging="180"/>
      </w:pPr>
    </w:lvl>
    <w:lvl w:ilvl="3" w:tplc="300A000F" w:tentative="1">
      <w:start w:val="1"/>
      <w:numFmt w:val="decimal"/>
      <w:lvlText w:val="%4."/>
      <w:lvlJc w:val="left"/>
      <w:pPr>
        <w:tabs>
          <w:tab w:val="num" w:pos="4656"/>
        </w:tabs>
        <w:ind w:left="4656" w:hanging="360"/>
      </w:pPr>
    </w:lvl>
    <w:lvl w:ilvl="4" w:tplc="300A0019" w:tentative="1">
      <w:start w:val="1"/>
      <w:numFmt w:val="lowerLetter"/>
      <w:lvlText w:val="%5."/>
      <w:lvlJc w:val="left"/>
      <w:pPr>
        <w:tabs>
          <w:tab w:val="num" w:pos="5376"/>
        </w:tabs>
        <w:ind w:left="5376" w:hanging="360"/>
      </w:pPr>
    </w:lvl>
    <w:lvl w:ilvl="5" w:tplc="300A001B" w:tentative="1">
      <w:start w:val="1"/>
      <w:numFmt w:val="lowerRoman"/>
      <w:lvlText w:val="%6."/>
      <w:lvlJc w:val="right"/>
      <w:pPr>
        <w:tabs>
          <w:tab w:val="num" w:pos="6096"/>
        </w:tabs>
        <w:ind w:left="6096" w:hanging="180"/>
      </w:pPr>
    </w:lvl>
    <w:lvl w:ilvl="6" w:tplc="300A000F" w:tentative="1">
      <w:start w:val="1"/>
      <w:numFmt w:val="decimal"/>
      <w:lvlText w:val="%7."/>
      <w:lvlJc w:val="left"/>
      <w:pPr>
        <w:tabs>
          <w:tab w:val="num" w:pos="6816"/>
        </w:tabs>
        <w:ind w:left="6816" w:hanging="360"/>
      </w:pPr>
    </w:lvl>
    <w:lvl w:ilvl="7" w:tplc="300A0019" w:tentative="1">
      <w:start w:val="1"/>
      <w:numFmt w:val="lowerLetter"/>
      <w:lvlText w:val="%8."/>
      <w:lvlJc w:val="left"/>
      <w:pPr>
        <w:tabs>
          <w:tab w:val="num" w:pos="7536"/>
        </w:tabs>
        <w:ind w:left="7536" w:hanging="360"/>
      </w:pPr>
    </w:lvl>
    <w:lvl w:ilvl="8" w:tplc="300A001B" w:tentative="1">
      <w:start w:val="1"/>
      <w:numFmt w:val="lowerRoman"/>
      <w:lvlText w:val="%9."/>
      <w:lvlJc w:val="right"/>
      <w:pPr>
        <w:tabs>
          <w:tab w:val="num" w:pos="8256"/>
        </w:tabs>
        <w:ind w:left="8256" w:hanging="180"/>
      </w:pPr>
    </w:lvl>
  </w:abstractNum>
  <w:abstractNum w:abstractNumId="32">
    <w:nsid w:val="67A27828"/>
    <w:multiLevelType w:val="multilevel"/>
    <w:tmpl w:val="30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3">
    <w:nsid w:val="6ED76D89"/>
    <w:multiLevelType w:val="hybridMultilevel"/>
    <w:tmpl w:val="F5F0C40E"/>
    <w:lvl w:ilvl="0" w:tplc="9DE27E26">
      <w:start w:val="2"/>
      <w:numFmt w:val="decimal"/>
      <w:lvlText w:val="%1."/>
      <w:lvlJc w:val="left"/>
      <w:pPr>
        <w:tabs>
          <w:tab w:val="num" w:pos="1437"/>
        </w:tabs>
        <w:ind w:left="1437" w:hanging="360"/>
      </w:pPr>
      <w:rPr>
        <w:rFonts w:hint="default"/>
      </w:rPr>
    </w:lvl>
    <w:lvl w:ilvl="1" w:tplc="300A0019" w:tentative="1">
      <w:start w:val="1"/>
      <w:numFmt w:val="lowerLetter"/>
      <w:lvlText w:val="%2."/>
      <w:lvlJc w:val="left"/>
      <w:pPr>
        <w:tabs>
          <w:tab w:val="num" w:pos="2157"/>
        </w:tabs>
        <w:ind w:left="2157" w:hanging="360"/>
      </w:pPr>
    </w:lvl>
    <w:lvl w:ilvl="2" w:tplc="300A001B" w:tentative="1">
      <w:start w:val="1"/>
      <w:numFmt w:val="lowerRoman"/>
      <w:lvlText w:val="%3."/>
      <w:lvlJc w:val="right"/>
      <w:pPr>
        <w:tabs>
          <w:tab w:val="num" w:pos="2877"/>
        </w:tabs>
        <w:ind w:left="2877" w:hanging="180"/>
      </w:pPr>
    </w:lvl>
    <w:lvl w:ilvl="3" w:tplc="300A000F" w:tentative="1">
      <w:start w:val="1"/>
      <w:numFmt w:val="decimal"/>
      <w:lvlText w:val="%4."/>
      <w:lvlJc w:val="left"/>
      <w:pPr>
        <w:tabs>
          <w:tab w:val="num" w:pos="3597"/>
        </w:tabs>
        <w:ind w:left="3597" w:hanging="360"/>
      </w:pPr>
    </w:lvl>
    <w:lvl w:ilvl="4" w:tplc="300A0019" w:tentative="1">
      <w:start w:val="1"/>
      <w:numFmt w:val="lowerLetter"/>
      <w:lvlText w:val="%5."/>
      <w:lvlJc w:val="left"/>
      <w:pPr>
        <w:tabs>
          <w:tab w:val="num" w:pos="4317"/>
        </w:tabs>
        <w:ind w:left="4317" w:hanging="360"/>
      </w:pPr>
    </w:lvl>
    <w:lvl w:ilvl="5" w:tplc="300A001B" w:tentative="1">
      <w:start w:val="1"/>
      <w:numFmt w:val="lowerRoman"/>
      <w:lvlText w:val="%6."/>
      <w:lvlJc w:val="right"/>
      <w:pPr>
        <w:tabs>
          <w:tab w:val="num" w:pos="5037"/>
        </w:tabs>
        <w:ind w:left="5037" w:hanging="180"/>
      </w:pPr>
    </w:lvl>
    <w:lvl w:ilvl="6" w:tplc="300A000F" w:tentative="1">
      <w:start w:val="1"/>
      <w:numFmt w:val="decimal"/>
      <w:lvlText w:val="%7."/>
      <w:lvlJc w:val="left"/>
      <w:pPr>
        <w:tabs>
          <w:tab w:val="num" w:pos="5757"/>
        </w:tabs>
        <w:ind w:left="5757" w:hanging="360"/>
      </w:pPr>
    </w:lvl>
    <w:lvl w:ilvl="7" w:tplc="300A0019" w:tentative="1">
      <w:start w:val="1"/>
      <w:numFmt w:val="lowerLetter"/>
      <w:lvlText w:val="%8."/>
      <w:lvlJc w:val="left"/>
      <w:pPr>
        <w:tabs>
          <w:tab w:val="num" w:pos="6477"/>
        </w:tabs>
        <w:ind w:left="6477" w:hanging="360"/>
      </w:pPr>
    </w:lvl>
    <w:lvl w:ilvl="8" w:tplc="300A001B" w:tentative="1">
      <w:start w:val="1"/>
      <w:numFmt w:val="lowerRoman"/>
      <w:lvlText w:val="%9."/>
      <w:lvlJc w:val="right"/>
      <w:pPr>
        <w:tabs>
          <w:tab w:val="num" w:pos="7197"/>
        </w:tabs>
        <w:ind w:left="7197" w:hanging="180"/>
      </w:pPr>
    </w:lvl>
  </w:abstractNum>
  <w:abstractNum w:abstractNumId="34">
    <w:nsid w:val="6F653F2F"/>
    <w:multiLevelType w:val="multilevel"/>
    <w:tmpl w:val="25CEC974"/>
    <w:lvl w:ilvl="0">
      <w:start w:val="1"/>
      <w:numFmt w:val="decimal"/>
      <w:lvlText w:val="%1"/>
      <w:lvlJc w:val="left"/>
      <w:pPr>
        <w:tabs>
          <w:tab w:val="num" w:pos="930"/>
        </w:tabs>
        <w:ind w:left="930" w:hanging="930"/>
      </w:pPr>
      <w:rPr>
        <w:rFonts w:hint="default"/>
      </w:rPr>
    </w:lvl>
    <w:lvl w:ilvl="1">
      <w:start w:val="12"/>
      <w:numFmt w:val="decimal"/>
      <w:lvlText w:val="%1.%2"/>
      <w:lvlJc w:val="left"/>
      <w:pPr>
        <w:tabs>
          <w:tab w:val="num" w:pos="1470"/>
        </w:tabs>
        <w:ind w:left="1470" w:hanging="930"/>
      </w:pPr>
      <w:rPr>
        <w:rFonts w:hint="default"/>
      </w:rPr>
    </w:lvl>
    <w:lvl w:ilvl="2">
      <w:start w:val="1"/>
      <w:numFmt w:val="decimal"/>
      <w:lvlText w:val="%1.%2.%3"/>
      <w:lvlJc w:val="left"/>
      <w:pPr>
        <w:tabs>
          <w:tab w:val="num" w:pos="2010"/>
        </w:tabs>
        <w:ind w:left="2010" w:hanging="930"/>
      </w:pPr>
      <w:rPr>
        <w:rFonts w:hint="default"/>
        <w:b/>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5">
    <w:nsid w:val="6FED2F3F"/>
    <w:multiLevelType w:val="hybridMultilevel"/>
    <w:tmpl w:val="6028484A"/>
    <w:lvl w:ilvl="0" w:tplc="300A000F">
      <w:start w:val="1"/>
      <w:numFmt w:val="decimal"/>
      <w:lvlText w:val="%1."/>
      <w:lvlJc w:val="left"/>
      <w:pPr>
        <w:tabs>
          <w:tab w:val="num" w:pos="2340"/>
        </w:tabs>
        <w:ind w:left="2340" w:hanging="360"/>
      </w:pPr>
    </w:lvl>
    <w:lvl w:ilvl="1" w:tplc="9FDC2FCA">
      <w:start w:val="1"/>
      <w:numFmt w:val="bullet"/>
      <w:lvlText w:val=""/>
      <w:lvlJc w:val="left"/>
      <w:pPr>
        <w:tabs>
          <w:tab w:val="num" w:pos="3011"/>
        </w:tabs>
        <w:ind w:left="3011" w:hanging="491"/>
      </w:pPr>
      <w:rPr>
        <w:rFonts w:ascii="Wingdings" w:hAnsi="Wingdings" w:hint="default"/>
      </w:rPr>
    </w:lvl>
    <w:lvl w:ilvl="2" w:tplc="300A001B" w:tentative="1">
      <w:start w:val="1"/>
      <w:numFmt w:val="lowerRoman"/>
      <w:lvlText w:val="%3."/>
      <w:lvlJc w:val="right"/>
      <w:pPr>
        <w:tabs>
          <w:tab w:val="num" w:pos="3600"/>
        </w:tabs>
        <w:ind w:left="3600" w:hanging="180"/>
      </w:pPr>
    </w:lvl>
    <w:lvl w:ilvl="3" w:tplc="300A000F" w:tentative="1">
      <w:start w:val="1"/>
      <w:numFmt w:val="decimal"/>
      <w:lvlText w:val="%4."/>
      <w:lvlJc w:val="left"/>
      <w:pPr>
        <w:tabs>
          <w:tab w:val="num" w:pos="4320"/>
        </w:tabs>
        <w:ind w:left="4320" w:hanging="360"/>
      </w:pPr>
    </w:lvl>
    <w:lvl w:ilvl="4" w:tplc="300A0019" w:tentative="1">
      <w:start w:val="1"/>
      <w:numFmt w:val="lowerLetter"/>
      <w:lvlText w:val="%5."/>
      <w:lvlJc w:val="left"/>
      <w:pPr>
        <w:tabs>
          <w:tab w:val="num" w:pos="5040"/>
        </w:tabs>
        <w:ind w:left="5040" w:hanging="360"/>
      </w:pPr>
    </w:lvl>
    <w:lvl w:ilvl="5" w:tplc="300A001B" w:tentative="1">
      <w:start w:val="1"/>
      <w:numFmt w:val="lowerRoman"/>
      <w:lvlText w:val="%6."/>
      <w:lvlJc w:val="right"/>
      <w:pPr>
        <w:tabs>
          <w:tab w:val="num" w:pos="5760"/>
        </w:tabs>
        <w:ind w:left="5760" w:hanging="180"/>
      </w:pPr>
    </w:lvl>
    <w:lvl w:ilvl="6" w:tplc="300A000F" w:tentative="1">
      <w:start w:val="1"/>
      <w:numFmt w:val="decimal"/>
      <w:lvlText w:val="%7."/>
      <w:lvlJc w:val="left"/>
      <w:pPr>
        <w:tabs>
          <w:tab w:val="num" w:pos="6480"/>
        </w:tabs>
        <w:ind w:left="6480" w:hanging="360"/>
      </w:pPr>
    </w:lvl>
    <w:lvl w:ilvl="7" w:tplc="300A0019" w:tentative="1">
      <w:start w:val="1"/>
      <w:numFmt w:val="lowerLetter"/>
      <w:lvlText w:val="%8."/>
      <w:lvlJc w:val="left"/>
      <w:pPr>
        <w:tabs>
          <w:tab w:val="num" w:pos="7200"/>
        </w:tabs>
        <w:ind w:left="7200" w:hanging="360"/>
      </w:pPr>
    </w:lvl>
    <w:lvl w:ilvl="8" w:tplc="300A001B" w:tentative="1">
      <w:start w:val="1"/>
      <w:numFmt w:val="lowerRoman"/>
      <w:lvlText w:val="%9."/>
      <w:lvlJc w:val="right"/>
      <w:pPr>
        <w:tabs>
          <w:tab w:val="num" w:pos="7920"/>
        </w:tabs>
        <w:ind w:left="7920" w:hanging="180"/>
      </w:pPr>
    </w:lvl>
  </w:abstractNum>
  <w:abstractNum w:abstractNumId="36">
    <w:nsid w:val="70DD1E13"/>
    <w:multiLevelType w:val="multilevel"/>
    <w:tmpl w:val="E6FAAD02"/>
    <w:lvl w:ilvl="0">
      <w:start w:val="1"/>
      <w:numFmt w:val="decimal"/>
      <w:lvlText w:val="%1."/>
      <w:lvlJc w:val="left"/>
      <w:pPr>
        <w:tabs>
          <w:tab w:val="num" w:pos="465"/>
        </w:tabs>
        <w:ind w:left="465" w:hanging="465"/>
      </w:pPr>
      <w:rPr>
        <w:rFonts w:hint="default"/>
      </w:rPr>
    </w:lvl>
    <w:lvl w:ilvl="1">
      <w:start w:val="1"/>
      <w:numFmt w:val="decimal"/>
      <w:lvlText w:val="2.%2."/>
      <w:lvlJc w:val="left"/>
      <w:pPr>
        <w:tabs>
          <w:tab w:val="num" w:pos="1797"/>
        </w:tabs>
        <w:ind w:left="1797" w:hanging="720"/>
      </w:pPr>
      <w:rPr>
        <w:rFonts w:hint="default"/>
      </w:rPr>
    </w:lvl>
    <w:lvl w:ilvl="2">
      <w:start w:val="1"/>
      <w:numFmt w:val="decimal"/>
      <w:lvlText w:val="2.%2.%3"/>
      <w:lvlJc w:val="left"/>
      <w:pPr>
        <w:tabs>
          <w:tab w:val="num" w:pos="2514"/>
        </w:tabs>
        <w:ind w:left="2514" w:hanging="360"/>
      </w:pPr>
      <w:rPr>
        <w:rFonts w:hint="default"/>
      </w:rPr>
    </w:lvl>
    <w:lvl w:ilvl="3">
      <w:start w:val="1"/>
      <w:numFmt w:val="decimal"/>
      <w:lvlText w:val="2.%2.%3.%4."/>
      <w:lvlJc w:val="left"/>
      <w:pPr>
        <w:tabs>
          <w:tab w:val="num" w:pos="4311"/>
        </w:tabs>
        <w:ind w:left="4311" w:hanging="1080"/>
      </w:pPr>
      <w:rPr>
        <w:rFonts w:hint="default"/>
      </w:rPr>
    </w:lvl>
    <w:lvl w:ilvl="4">
      <w:start w:val="1"/>
      <w:numFmt w:val="decimal"/>
      <w:lvlText w:val="%1.%2.%3.%4.%5."/>
      <w:lvlJc w:val="left"/>
      <w:pPr>
        <w:tabs>
          <w:tab w:val="num" w:pos="5388"/>
        </w:tabs>
        <w:ind w:left="5388" w:hanging="1080"/>
      </w:pPr>
      <w:rPr>
        <w:rFonts w:hint="default"/>
      </w:rPr>
    </w:lvl>
    <w:lvl w:ilvl="5">
      <w:start w:val="1"/>
      <w:numFmt w:val="decimal"/>
      <w:lvlText w:val="%1.%2.%3.%4.%5.%6."/>
      <w:lvlJc w:val="left"/>
      <w:pPr>
        <w:tabs>
          <w:tab w:val="num" w:pos="6825"/>
        </w:tabs>
        <w:ind w:left="6825" w:hanging="1440"/>
      </w:pPr>
      <w:rPr>
        <w:rFonts w:hint="default"/>
      </w:rPr>
    </w:lvl>
    <w:lvl w:ilvl="6">
      <w:start w:val="1"/>
      <w:numFmt w:val="decimal"/>
      <w:lvlText w:val="%1.%2.%3.%4.%5.%6.%7."/>
      <w:lvlJc w:val="left"/>
      <w:pPr>
        <w:tabs>
          <w:tab w:val="num" w:pos="7902"/>
        </w:tabs>
        <w:ind w:left="7902" w:hanging="1440"/>
      </w:pPr>
      <w:rPr>
        <w:rFonts w:hint="default"/>
      </w:rPr>
    </w:lvl>
    <w:lvl w:ilvl="7">
      <w:start w:val="1"/>
      <w:numFmt w:val="decimal"/>
      <w:lvlText w:val="%1.%2.%3.%4.%5.%6.%7.%8."/>
      <w:lvlJc w:val="left"/>
      <w:pPr>
        <w:tabs>
          <w:tab w:val="num" w:pos="9339"/>
        </w:tabs>
        <w:ind w:left="9339" w:hanging="1800"/>
      </w:pPr>
      <w:rPr>
        <w:rFonts w:hint="default"/>
      </w:rPr>
    </w:lvl>
    <w:lvl w:ilvl="8">
      <w:start w:val="1"/>
      <w:numFmt w:val="decimal"/>
      <w:lvlText w:val="%1.%2.%3.%4.%5.%6.%7.%8.%9."/>
      <w:lvlJc w:val="left"/>
      <w:pPr>
        <w:tabs>
          <w:tab w:val="num" w:pos="10776"/>
        </w:tabs>
        <w:ind w:left="10776" w:hanging="2160"/>
      </w:pPr>
      <w:rPr>
        <w:rFonts w:hint="default"/>
      </w:rPr>
    </w:lvl>
  </w:abstractNum>
  <w:abstractNum w:abstractNumId="37">
    <w:nsid w:val="74D55DA4"/>
    <w:multiLevelType w:val="hybridMultilevel"/>
    <w:tmpl w:val="5A1A269C"/>
    <w:lvl w:ilvl="0" w:tplc="300A0017">
      <w:start w:val="1"/>
      <w:numFmt w:val="lowerLetter"/>
      <w:lvlText w:val="%1)"/>
      <w:lvlJc w:val="left"/>
      <w:pPr>
        <w:tabs>
          <w:tab w:val="num" w:pos="2520"/>
        </w:tabs>
        <w:ind w:left="2520" w:hanging="360"/>
      </w:pPr>
    </w:lvl>
    <w:lvl w:ilvl="1" w:tplc="300A0019" w:tentative="1">
      <w:start w:val="1"/>
      <w:numFmt w:val="lowerLetter"/>
      <w:lvlText w:val="%2."/>
      <w:lvlJc w:val="left"/>
      <w:pPr>
        <w:tabs>
          <w:tab w:val="num" w:pos="3240"/>
        </w:tabs>
        <w:ind w:left="3240" w:hanging="360"/>
      </w:pPr>
    </w:lvl>
    <w:lvl w:ilvl="2" w:tplc="300A001B" w:tentative="1">
      <w:start w:val="1"/>
      <w:numFmt w:val="lowerRoman"/>
      <w:lvlText w:val="%3."/>
      <w:lvlJc w:val="right"/>
      <w:pPr>
        <w:tabs>
          <w:tab w:val="num" w:pos="3960"/>
        </w:tabs>
        <w:ind w:left="3960" w:hanging="180"/>
      </w:pPr>
    </w:lvl>
    <w:lvl w:ilvl="3" w:tplc="300A000F" w:tentative="1">
      <w:start w:val="1"/>
      <w:numFmt w:val="decimal"/>
      <w:lvlText w:val="%4."/>
      <w:lvlJc w:val="left"/>
      <w:pPr>
        <w:tabs>
          <w:tab w:val="num" w:pos="4680"/>
        </w:tabs>
        <w:ind w:left="4680" w:hanging="360"/>
      </w:pPr>
    </w:lvl>
    <w:lvl w:ilvl="4" w:tplc="300A0019" w:tentative="1">
      <w:start w:val="1"/>
      <w:numFmt w:val="lowerLetter"/>
      <w:lvlText w:val="%5."/>
      <w:lvlJc w:val="left"/>
      <w:pPr>
        <w:tabs>
          <w:tab w:val="num" w:pos="5400"/>
        </w:tabs>
        <w:ind w:left="5400" w:hanging="360"/>
      </w:pPr>
    </w:lvl>
    <w:lvl w:ilvl="5" w:tplc="300A001B" w:tentative="1">
      <w:start w:val="1"/>
      <w:numFmt w:val="lowerRoman"/>
      <w:lvlText w:val="%6."/>
      <w:lvlJc w:val="right"/>
      <w:pPr>
        <w:tabs>
          <w:tab w:val="num" w:pos="6120"/>
        </w:tabs>
        <w:ind w:left="6120" w:hanging="180"/>
      </w:pPr>
    </w:lvl>
    <w:lvl w:ilvl="6" w:tplc="300A000F" w:tentative="1">
      <w:start w:val="1"/>
      <w:numFmt w:val="decimal"/>
      <w:lvlText w:val="%7."/>
      <w:lvlJc w:val="left"/>
      <w:pPr>
        <w:tabs>
          <w:tab w:val="num" w:pos="6840"/>
        </w:tabs>
        <w:ind w:left="6840" w:hanging="360"/>
      </w:pPr>
    </w:lvl>
    <w:lvl w:ilvl="7" w:tplc="300A0019" w:tentative="1">
      <w:start w:val="1"/>
      <w:numFmt w:val="lowerLetter"/>
      <w:lvlText w:val="%8."/>
      <w:lvlJc w:val="left"/>
      <w:pPr>
        <w:tabs>
          <w:tab w:val="num" w:pos="7560"/>
        </w:tabs>
        <w:ind w:left="7560" w:hanging="360"/>
      </w:pPr>
    </w:lvl>
    <w:lvl w:ilvl="8" w:tplc="300A001B" w:tentative="1">
      <w:start w:val="1"/>
      <w:numFmt w:val="lowerRoman"/>
      <w:lvlText w:val="%9."/>
      <w:lvlJc w:val="right"/>
      <w:pPr>
        <w:tabs>
          <w:tab w:val="num" w:pos="8280"/>
        </w:tabs>
        <w:ind w:left="8280" w:hanging="180"/>
      </w:pPr>
    </w:lvl>
  </w:abstractNum>
  <w:abstractNum w:abstractNumId="38">
    <w:nsid w:val="750F0A1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39">
    <w:nsid w:val="7B3502BC"/>
    <w:multiLevelType w:val="multilevel"/>
    <w:tmpl w:val="1D001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291"/>
        </w:tabs>
        <w:ind w:left="2291" w:hanging="491"/>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20"/>
  </w:num>
  <w:num w:numId="3">
    <w:abstractNumId w:val="13"/>
  </w:num>
  <w:num w:numId="4">
    <w:abstractNumId w:val="29"/>
  </w:num>
  <w:num w:numId="5">
    <w:abstractNumId w:val="34"/>
  </w:num>
  <w:num w:numId="6">
    <w:abstractNumId w:val="16"/>
  </w:num>
  <w:num w:numId="7">
    <w:abstractNumId w:val="17"/>
  </w:num>
  <w:num w:numId="8">
    <w:abstractNumId w:val="28"/>
  </w:num>
  <w:num w:numId="9">
    <w:abstractNumId w:val="14"/>
  </w:num>
  <w:num w:numId="10">
    <w:abstractNumId w:val="22"/>
  </w:num>
  <w:num w:numId="11">
    <w:abstractNumId w:val="37"/>
  </w:num>
  <w:num w:numId="12">
    <w:abstractNumId w:val="31"/>
  </w:num>
  <w:num w:numId="13">
    <w:abstractNumId w:val="9"/>
  </w:num>
  <w:num w:numId="14">
    <w:abstractNumId w:val="38"/>
  </w:num>
  <w:num w:numId="15">
    <w:abstractNumId w:val="23"/>
  </w:num>
  <w:num w:numId="16">
    <w:abstractNumId w:val="1"/>
  </w:num>
  <w:num w:numId="17">
    <w:abstractNumId w:val="10"/>
  </w:num>
  <w:num w:numId="18">
    <w:abstractNumId w:val="12"/>
  </w:num>
  <w:num w:numId="19">
    <w:abstractNumId w:val="6"/>
  </w:num>
  <w:num w:numId="20">
    <w:abstractNumId w:val="7"/>
  </w:num>
  <w:num w:numId="21">
    <w:abstractNumId w:val="5"/>
  </w:num>
  <w:num w:numId="22">
    <w:abstractNumId w:val="18"/>
  </w:num>
  <w:num w:numId="23">
    <w:abstractNumId w:val="26"/>
  </w:num>
  <w:num w:numId="24">
    <w:abstractNumId w:val="4"/>
  </w:num>
  <w:num w:numId="25">
    <w:abstractNumId w:val="39"/>
  </w:num>
  <w:num w:numId="26">
    <w:abstractNumId w:val="25"/>
  </w:num>
  <w:num w:numId="27">
    <w:abstractNumId w:val="2"/>
  </w:num>
  <w:num w:numId="28">
    <w:abstractNumId w:val="36"/>
  </w:num>
  <w:num w:numId="29">
    <w:abstractNumId w:val="30"/>
  </w:num>
  <w:num w:numId="30">
    <w:abstractNumId w:val="15"/>
  </w:num>
  <w:num w:numId="31">
    <w:abstractNumId w:val="33"/>
  </w:num>
  <w:num w:numId="32">
    <w:abstractNumId w:val="35"/>
  </w:num>
  <w:num w:numId="33">
    <w:abstractNumId w:val="27"/>
  </w:num>
  <w:num w:numId="34">
    <w:abstractNumId w:val="3"/>
  </w:num>
  <w:num w:numId="35">
    <w:abstractNumId w:val="0"/>
  </w:num>
  <w:num w:numId="36">
    <w:abstractNumId w:val="21"/>
  </w:num>
  <w:num w:numId="37">
    <w:abstractNumId w:val="8"/>
  </w:num>
  <w:num w:numId="38">
    <w:abstractNumId w:val="11"/>
  </w:num>
  <w:num w:numId="39">
    <w:abstractNumId w:val="19"/>
  </w:num>
  <w:num w:numId="40">
    <w:abstractNumId w:val="2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noPunctuationKerning/>
  <w:characterSpacingControl w:val="doNotCompress"/>
  <w:footnotePr>
    <w:footnote w:id="0"/>
    <w:footnote w:id="1"/>
  </w:footnotePr>
  <w:endnotePr>
    <w:endnote w:id="0"/>
    <w:endnote w:id="1"/>
  </w:endnotePr>
  <w:compat/>
  <w:rsids>
    <w:rsidRoot w:val="00221239"/>
    <w:rsid w:val="00221239"/>
    <w:rsid w:val="00BC67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s-EC"/>
    </w:rPr>
  </w:style>
  <w:style w:type="paragraph" w:styleId="Ttulo1">
    <w:name w:val="heading 1"/>
    <w:basedOn w:val="Normal"/>
    <w:qFormat/>
    <w:pPr>
      <w:spacing w:before="100" w:beforeAutospacing="1" w:after="100" w:afterAutospacing="1"/>
      <w:outlineLvl w:val="0"/>
    </w:pPr>
    <w:rPr>
      <w:rFonts w:ascii="Verdana" w:eastAsia="Arial Unicode MS" w:hAnsi="Verdana" w:cs="Arial Unicode MS"/>
      <w:b/>
      <w:bCs/>
      <w:kern w:val="36"/>
      <w:sz w:val="25"/>
      <w:szCs w:val="25"/>
      <w:lang w:val="es-ES" w:eastAsia="es-ES"/>
    </w:rPr>
  </w:style>
  <w:style w:type="paragraph" w:styleId="Ttulo2">
    <w:name w:val="heading 2"/>
    <w:basedOn w:val="Normal"/>
    <w:next w:val="Normal"/>
    <w:qFormat/>
    <w:pPr>
      <w:keepNext/>
      <w:jc w:val="both"/>
      <w:outlineLvl w:val="1"/>
    </w:pPr>
    <w:rPr>
      <w:b/>
      <w:bCs/>
      <w:lang w:eastAsia="es-ES"/>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6">
    <w:name w:val="heading 6"/>
    <w:basedOn w:val="Normal"/>
    <w:next w:val="Normal"/>
    <w:qFormat/>
    <w:pPr>
      <w:spacing w:before="240" w:after="60"/>
      <w:outlineLvl w:val="5"/>
    </w:pPr>
    <w:rPr>
      <w:b/>
      <w:bCs/>
      <w:sz w:val="22"/>
      <w:szCs w:val="22"/>
      <w:lang w:val="es-MX" w:eastAsia="es-MX"/>
    </w:rPr>
  </w:style>
  <w:style w:type="paragraph" w:styleId="Ttulo8">
    <w:name w:val="heading 8"/>
    <w:basedOn w:val="Normal"/>
    <w:next w:val="Normal"/>
    <w:qFormat/>
    <w:pPr>
      <w:spacing w:before="240" w:after="60"/>
      <w:outlineLvl w:val="7"/>
    </w:pPr>
    <w:rPr>
      <w:i/>
      <w:iCs/>
      <w:lang w:val="es-MX" w:eastAsia="es-MX"/>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text">
    <w:name w:val="body_text"/>
    <w:basedOn w:val="Normal"/>
    <w:pPr>
      <w:spacing w:before="100" w:beforeAutospacing="1" w:after="100" w:afterAutospacing="1"/>
    </w:pPr>
    <w:rPr>
      <w:rFonts w:ascii="Verdana" w:eastAsia="Arial Unicode MS" w:hAnsi="Verdana" w:cs="Arial Unicode MS"/>
      <w:sz w:val="18"/>
      <w:szCs w:val="18"/>
      <w:lang w:val="es-ES" w:eastAsia="es-ES"/>
    </w:rPr>
  </w:style>
  <w:style w:type="paragraph" w:styleId="Textoindependiente3">
    <w:name w:val="Body Text 3"/>
    <w:basedOn w:val="Normal"/>
    <w:semiHidden/>
    <w:pPr>
      <w:jc w:val="both"/>
    </w:pPr>
    <w:rPr>
      <w:rFonts w:ascii="Arial" w:hAnsi="Arial"/>
      <w:szCs w:val="20"/>
      <w:lang w:val="es-ES"/>
    </w:rPr>
  </w:style>
  <w:style w:type="paragraph" w:styleId="NormalWeb">
    <w:name w:val="Normal (Web)"/>
    <w:basedOn w:val="Normal"/>
    <w:semiHidden/>
    <w:pPr>
      <w:spacing w:before="100" w:beforeAutospacing="1" w:after="100" w:afterAutospacing="1"/>
    </w:pPr>
  </w:style>
  <w:style w:type="paragraph" w:styleId="Sangradetextonormal">
    <w:name w:val="Body Text Indent"/>
    <w:basedOn w:val="Normal"/>
    <w:semiHidden/>
    <w:pPr>
      <w:spacing w:after="120"/>
      <w:ind w:left="283"/>
    </w:pPr>
  </w:style>
  <w:style w:type="paragraph" w:styleId="Ttulo">
    <w:name w:val="Title"/>
    <w:basedOn w:val="Normal"/>
    <w:qFormat/>
    <w:pPr>
      <w:jc w:val="center"/>
    </w:pPr>
    <w:rPr>
      <w:b/>
      <w:bCs/>
      <w:lang w:eastAsia="es-ES"/>
    </w:rPr>
  </w:style>
  <w:style w:type="paragraph" w:styleId="Textoindependiente">
    <w:name w:val="Body Text"/>
    <w:basedOn w:val="Normal"/>
    <w:semiHidden/>
    <w:pPr>
      <w:jc w:val="both"/>
    </w:pPr>
    <w:rPr>
      <w:lang w:eastAsia="es-ES"/>
    </w:rPr>
  </w:style>
  <w:style w:type="character" w:customStyle="1" w:styleId="texto91">
    <w:name w:val="texto91"/>
    <w:basedOn w:val="Fuentedeprrafopredeter"/>
    <w:rPr>
      <w:rFonts w:ascii="Verdana" w:hAnsi="Verdana" w:hint="default"/>
      <w:strike w:val="0"/>
      <w:dstrike w:val="0"/>
      <w:sz w:val="18"/>
      <w:szCs w:val="18"/>
      <w:u w:val="none"/>
      <w:effect w:val="none"/>
    </w:rPr>
  </w:style>
  <w:style w:type="paragraph" w:styleId="Textoindependiente2">
    <w:name w:val="Body Text 2"/>
    <w:basedOn w:val="Normal"/>
    <w:semiHidden/>
    <w:pPr>
      <w:spacing w:line="360" w:lineRule="auto"/>
      <w:jc w:val="center"/>
    </w:pPr>
    <w:rPr>
      <w:lang w:eastAsia="es-ES"/>
    </w:rPr>
  </w:style>
  <w:style w:type="paragraph" w:customStyle="1" w:styleId="titulos">
    <w:name w:val="titulos"/>
    <w:basedOn w:val="Normal"/>
    <w:pPr>
      <w:spacing w:before="100" w:beforeAutospacing="1" w:after="100" w:afterAutospacing="1"/>
    </w:pPr>
    <w:rPr>
      <w:rFonts w:ascii="Arial" w:hAnsi="Arial" w:cs="Arial"/>
      <w:b/>
      <w:bCs/>
      <w:color w:val="336600"/>
      <w:sz w:val="27"/>
      <w:szCs w:val="27"/>
      <w:lang w:val="es-MX" w:eastAsia="es-MX"/>
    </w:rPr>
  </w:style>
  <w:style w:type="character" w:customStyle="1" w:styleId="negrita1">
    <w:name w:val="negrita1"/>
    <w:basedOn w:val="Fuentedeprrafopredeter"/>
    <w:rPr>
      <w:rFonts w:ascii="Arial" w:hAnsi="Arial" w:cs="Arial" w:hint="default"/>
      <w:b/>
      <w:bCs/>
      <w:strike w:val="0"/>
      <w:dstrike w:val="0"/>
      <w:color w:val="006600"/>
      <w:sz w:val="18"/>
      <w:szCs w:val="18"/>
      <w:u w:val="none"/>
      <w:effect w:val="none"/>
    </w:rPr>
  </w:style>
  <w:style w:type="character" w:styleId="Textoennegrita">
    <w:name w:val="Strong"/>
    <w:basedOn w:val="Fuentedeprrafopredeter"/>
    <w:qFormat/>
    <w:rPr>
      <w:b/>
      <w:bCs/>
    </w:rPr>
  </w:style>
  <w:style w:type="character" w:customStyle="1" w:styleId="subtitulos1">
    <w:name w:val="subtitulos1"/>
    <w:basedOn w:val="Fuentedeprrafopredeter"/>
    <w:rPr>
      <w:rFonts w:ascii="Arial" w:hAnsi="Arial" w:cs="Arial" w:hint="default"/>
      <w:b/>
      <w:bCs/>
      <w:color w:val="006600"/>
      <w:sz w:val="21"/>
      <w:szCs w:val="21"/>
    </w:rPr>
  </w:style>
  <w:style w:type="paragraph" w:styleId="Encabezado">
    <w:name w:val="header"/>
    <w:basedOn w:val="Normal"/>
    <w:semiHidden/>
    <w:pPr>
      <w:tabs>
        <w:tab w:val="center" w:pos="4419"/>
        <w:tab w:val="right" w:pos="8838"/>
      </w:tabs>
    </w:pPr>
    <w:rPr>
      <w:lang w:val="es-MX" w:eastAsia="es-MX"/>
    </w:rPr>
  </w:style>
  <w:style w:type="paragraph" w:styleId="Piedepgina">
    <w:name w:val="footer"/>
    <w:basedOn w:val="Normal"/>
    <w:semiHidden/>
    <w:pPr>
      <w:tabs>
        <w:tab w:val="center" w:pos="4419"/>
        <w:tab w:val="right" w:pos="8838"/>
      </w:tabs>
    </w:pPr>
    <w:rPr>
      <w:lang w:val="es-MX" w:eastAsia="es-MX"/>
    </w:rPr>
  </w:style>
  <w:style w:type="character" w:styleId="Hipervnculo">
    <w:name w:val="Hyperlink"/>
    <w:basedOn w:val="Fuentedeprrafopredeter"/>
    <w:semiHidden/>
    <w:rPr>
      <w:color w:val="0000FF"/>
      <w:u w:val="single"/>
    </w:rPr>
  </w:style>
  <w:style w:type="paragraph" w:styleId="Textonotapie">
    <w:name w:val="footnote text"/>
    <w:basedOn w:val="Normal"/>
    <w:semiHidden/>
    <w:pPr>
      <w:spacing w:line="480" w:lineRule="auto"/>
      <w:jc w:val="both"/>
    </w:pPr>
    <w:rPr>
      <w:rFonts w:ascii="Arial" w:hAnsi="Arial"/>
      <w:sz w:val="20"/>
      <w:szCs w:val="20"/>
      <w:lang w:val="es-ES" w:eastAsia="es-ES"/>
    </w:rPr>
  </w:style>
  <w:style w:type="paragraph" w:styleId="Sangra2detindependiente">
    <w:name w:val="Body Text Indent 2"/>
    <w:basedOn w:val="Normal"/>
    <w:semiHidden/>
    <w:pPr>
      <w:spacing w:after="120" w:line="480" w:lineRule="auto"/>
      <w:ind w:left="283"/>
    </w:pPr>
    <w:rPr>
      <w:lang w:val="es-MX" w:eastAsia="es-MX"/>
    </w:rPr>
  </w:style>
  <w:style w:type="paragraph" w:styleId="Sangra3detindependiente">
    <w:name w:val="Body Text Indent 3"/>
    <w:basedOn w:val="Normal"/>
    <w:semiHidden/>
    <w:pPr>
      <w:spacing w:after="120"/>
      <w:ind w:left="283"/>
    </w:pPr>
    <w:rPr>
      <w:sz w:val="16"/>
      <w:szCs w:val="16"/>
      <w:lang w:val="es-MX" w:eastAsia="es-MX"/>
    </w:rPr>
  </w:style>
  <w:style w:type="character" w:styleId="Hipervnculovisitado">
    <w:name w:val="FollowedHyperlink"/>
    <w:basedOn w:val="Fuentedeprrafopredeter"/>
    <w:semiHidden/>
    <w:rPr>
      <w:color w:val="800080"/>
      <w:u w:val="single"/>
    </w:rPr>
  </w:style>
  <w:style w:type="character" w:styleId="Nmerodepgina">
    <w:name w:val="page number"/>
    <w:basedOn w:val="Fuentedeprrafopredeter"/>
    <w:semiHidden/>
  </w:style>
  <w:style w:type="character" w:styleId="Refdenotaalpie">
    <w:name w:val="footnote reference"/>
    <w:basedOn w:val="Fuentedeprrafopredeter"/>
    <w:semiHidden/>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2.bin"/><Relationship Id="rId21" Type="http://schemas.openxmlformats.org/officeDocument/2006/relationships/image" Target="media/image5.wmf"/><Relationship Id="rId63" Type="http://schemas.openxmlformats.org/officeDocument/2006/relationships/image" Target="media/image25.wmf"/><Relationship Id="rId159" Type="http://schemas.openxmlformats.org/officeDocument/2006/relationships/oleObject" Target="embeddings/oleObject77.bin"/><Relationship Id="rId324" Type="http://schemas.openxmlformats.org/officeDocument/2006/relationships/header" Target="header9.xml"/><Relationship Id="rId366" Type="http://schemas.openxmlformats.org/officeDocument/2006/relationships/oleObject" Target="embeddings/oleObject167.bin"/><Relationship Id="rId170" Type="http://schemas.openxmlformats.org/officeDocument/2006/relationships/image" Target="media/image76.wmf"/><Relationship Id="rId226" Type="http://schemas.openxmlformats.org/officeDocument/2006/relationships/oleObject" Target="embeddings/oleObject112.bin"/><Relationship Id="rId107" Type="http://schemas.openxmlformats.org/officeDocument/2006/relationships/oleObject" Target="embeddings/oleObject50.bin"/><Relationship Id="rId268" Type="http://schemas.openxmlformats.org/officeDocument/2006/relationships/image" Target="media/image116.wmf"/><Relationship Id="rId289" Type="http://schemas.openxmlformats.org/officeDocument/2006/relationships/oleObject" Target="embeddings/oleObject126.bin"/><Relationship Id="rId11" Type="http://schemas.openxmlformats.org/officeDocument/2006/relationships/header" Target="header3.xml"/><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0.wmf"/><Relationship Id="rId128" Type="http://schemas.openxmlformats.org/officeDocument/2006/relationships/image" Target="media/image56.wmf"/><Relationship Id="rId149" Type="http://schemas.openxmlformats.org/officeDocument/2006/relationships/oleObject" Target="embeddings/oleObject72.bin"/><Relationship Id="rId314" Type="http://schemas.openxmlformats.org/officeDocument/2006/relationships/oleObject" Target="embeddings/oleObject141.bin"/><Relationship Id="rId335" Type="http://schemas.openxmlformats.org/officeDocument/2006/relationships/image" Target="media/image143.wmf"/><Relationship Id="rId356" Type="http://schemas.openxmlformats.org/officeDocument/2006/relationships/oleObject" Target="embeddings/oleObject162.bin"/><Relationship Id="rId377" Type="http://schemas.openxmlformats.org/officeDocument/2006/relationships/oleObject" Target="embeddings/oleObject175.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1.wmf"/><Relationship Id="rId181" Type="http://schemas.openxmlformats.org/officeDocument/2006/relationships/oleObject" Target="embeddings/oleObject88.bin"/><Relationship Id="rId216" Type="http://schemas.openxmlformats.org/officeDocument/2006/relationships/image" Target="media/image98.wmf"/><Relationship Id="rId237" Type="http://schemas.openxmlformats.org/officeDocument/2006/relationships/image" Target="media/image111.png"/><Relationship Id="rId258" Type="http://schemas.openxmlformats.org/officeDocument/2006/relationships/chart" Target="charts/chart17.xml"/><Relationship Id="rId279" Type="http://schemas.openxmlformats.org/officeDocument/2006/relationships/image" Target="media/image121.wmf"/><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oleObject" Target="embeddings/oleObject27.bin"/><Relationship Id="rId118" Type="http://schemas.openxmlformats.org/officeDocument/2006/relationships/image" Target="media/image51.wmf"/><Relationship Id="rId139" Type="http://schemas.openxmlformats.org/officeDocument/2006/relationships/image" Target="media/image61.wmf"/><Relationship Id="rId290" Type="http://schemas.openxmlformats.org/officeDocument/2006/relationships/image" Target="media/image125.wmf"/><Relationship Id="rId304" Type="http://schemas.openxmlformats.org/officeDocument/2006/relationships/image" Target="media/image130.wmf"/><Relationship Id="rId325" Type="http://schemas.openxmlformats.org/officeDocument/2006/relationships/image" Target="media/image138.wmf"/><Relationship Id="rId346" Type="http://schemas.openxmlformats.org/officeDocument/2006/relationships/oleObject" Target="embeddings/oleObject157.bin"/><Relationship Id="rId367" Type="http://schemas.openxmlformats.org/officeDocument/2006/relationships/oleObject" Target="embeddings/oleObject168.bin"/><Relationship Id="rId388" Type="http://schemas.openxmlformats.org/officeDocument/2006/relationships/image" Target="media/image166.emf"/><Relationship Id="rId85" Type="http://schemas.openxmlformats.org/officeDocument/2006/relationships/image" Target="media/image35.wmf"/><Relationship Id="rId150" Type="http://schemas.openxmlformats.org/officeDocument/2006/relationships/image" Target="media/image66.wmf"/><Relationship Id="rId171" Type="http://schemas.openxmlformats.org/officeDocument/2006/relationships/oleObject" Target="embeddings/oleObject83.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hyperlink" Target="http://www.psico.uniovi.es/Dpto_Psicologia/metodos/hardcopy/ref.html" TargetMode="External"/><Relationship Id="rId248" Type="http://schemas.openxmlformats.org/officeDocument/2006/relationships/chart" Target="charts/chart7.xml"/><Relationship Id="rId269" Type="http://schemas.openxmlformats.org/officeDocument/2006/relationships/oleObject" Target="embeddings/oleObject114.bin"/><Relationship Id="rId12" Type="http://schemas.openxmlformats.org/officeDocument/2006/relationships/image" Target="media/image1.wmf"/><Relationship Id="rId33" Type="http://schemas.openxmlformats.org/officeDocument/2006/relationships/image" Target="media/image11.wmf"/><Relationship Id="rId108" Type="http://schemas.openxmlformats.org/officeDocument/2006/relationships/image" Target="media/image46.wmf"/><Relationship Id="rId129" Type="http://schemas.openxmlformats.org/officeDocument/2006/relationships/oleObject" Target="embeddings/oleObject61.bin"/><Relationship Id="rId280" Type="http://schemas.openxmlformats.org/officeDocument/2006/relationships/oleObject" Target="embeddings/oleObject120.bin"/><Relationship Id="rId315" Type="http://schemas.openxmlformats.org/officeDocument/2006/relationships/oleObject" Target="embeddings/oleObject142.bin"/><Relationship Id="rId336" Type="http://schemas.openxmlformats.org/officeDocument/2006/relationships/oleObject" Target="embeddings/oleObject152.bin"/><Relationship Id="rId357" Type="http://schemas.openxmlformats.org/officeDocument/2006/relationships/image" Target="media/image154.wmf"/><Relationship Id="rId54" Type="http://schemas.openxmlformats.org/officeDocument/2006/relationships/image" Target="media/image21.wmf"/><Relationship Id="rId75" Type="http://schemas.openxmlformats.org/officeDocument/2006/relationships/oleObject" Target="embeddings/oleObject33.bin"/><Relationship Id="rId96" Type="http://schemas.openxmlformats.org/officeDocument/2006/relationships/image" Target="media/image40.wmf"/><Relationship Id="rId140" Type="http://schemas.openxmlformats.org/officeDocument/2006/relationships/oleObject" Target="embeddings/oleObject67.bin"/><Relationship Id="rId161" Type="http://schemas.openxmlformats.org/officeDocument/2006/relationships/oleObject" Target="embeddings/oleObject78.bin"/><Relationship Id="rId182" Type="http://schemas.openxmlformats.org/officeDocument/2006/relationships/image" Target="media/image82.wmf"/><Relationship Id="rId217" Type="http://schemas.openxmlformats.org/officeDocument/2006/relationships/oleObject" Target="embeddings/oleObject107.bin"/><Relationship Id="rId378" Type="http://schemas.openxmlformats.org/officeDocument/2006/relationships/oleObject" Target="embeddings/oleObject176.bin"/><Relationship Id="rId6" Type="http://schemas.openxmlformats.org/officeDocument/2006/relationships/endnotes" Target="endnotes.xml"/><Relationship Id="rId238" Type="http://schemas.openxmlformats.org/officeDocument/2006/relationships/image" Target="media/image112.png"/><Relationship Id="rId259" Type="http://schemas.openxmlformats.org/officeDocument/2006/relationships/chart" Target="charts/chart18.xml"/><Relationship Id="rId23" Type="http://schemas.openxmlformats.org/officeDocument/2006/relationships/image" Target="media/image6.wmf"/><Relationship Id="rId119" Type="http://schemas.openxmlformats.org/officeDocument/2006/relationships/oleObject" Target="embeddings/oleObject56.bin"/><Relationship Id="rId270" Type="http://schemas.openxmlformats.org/officeDocument/2006/relationships/image" Target="media/image117.wmf"/><Relationship Id="rId291" Type="http://schemas.openxmlformats.org/officeDocument/2006/relationships/oleObject" Target="embeddings/oleObject127.bin"/><Relationship Id="rId305" Type="http://schemas.openxmlformats.org/officeDocument/2006/relationships/oleObject" Target="embeddings/oleObject136.bin"/><Relationship Id="rId326" Type="http://schemas.openxmlformats.org/officeDocument/2006/relationships/oleObject" Target="embeddings/oleObject147.bin"/><Relationship Id="rId347" Type="http://schemas.openxmlformats.org/officeDocument/2006/relationships/image" Target="media/image149.wmf"/><Relationship Id="rId44" Type="http://schemas.openxmlformats.org/officeDocument/2006/relationships/oleObject" Target="embeddings/oleObject17.bin"/><Relationship Id="rId65" Type="http://schemas.openxmlformats.org/officeDocument/2006/relationships/image" Target="media/image26.wmf"/><Relationship Id="rId86" Type="http://schemas.openxmlformats.org/officeDocument/2006/relationships/oleObject" Target="embeddings/oleObject39.bin"/><Relationship Id="rId130" Type="http://schemas.openxmlformats.org/officeDocument/2006/relationships/image" Target="media/image57.wmf"/><Relationship Id="rId151" Type="http://schemas.openxmlformats.org/officeDocument/2006/relationships/oleObject" Target="embeddings/oleObject73.bin"/><Relationship Id="rId368" Type="http://schemas.openxmlformats.org/officeDocument/2006/relationships/image" Target="media/image159.wmf"/><Relationship Id="rId389" Type="http://schemas.openxmlformats.org/officeDocument/2006/relationships/image" Target="media/image167.emf"/><Relationship Id="rId172" Type="http://schemas.openxmlformats.org/officeDocument/2006/relationships/image" Target="media/image77.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hyperlink" Target="http://www.psico.uniovi.es/Dpto_Psicologia/metodos/hardcopy/ref.html" TargetMode="External"/><Relationship Id="rId249" Type="http://schemas.openxmlformats.org/officeDocument/2006/relationships/chart" Target="charts/chart8.xml"/><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chart" Target="charts/chart19.xml"/><Relationship Id="rId281" Type="http://schemas.openxmlformats.org/officeDocument/2006/relationships/image" Target="media/image122.wmf"/><Relationship Id="rId316" Type="http://schemas.openxmlformats.org/officeDocument/2006/relationships/oleObject" Target="embeddings/oleObject143.bin"/><Relationship Id="rId337" Type="http://schemas.openxmlformats.org/officeDocument/2006/relationships/image" Target="media/image144.wmf"/><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1.wmf"/><Relationship Id="rId97" Type="http://schemas.openxmlformats.org/officeDocument/2006/relationships/oleObject" Target="embeddings/oleObject45.bin"/><Relationship Id="rId120" Type="http://schemas.openxmlformats.org/officeDocument/2006/relationships/image" Target="media/image52.wmf"/><Relationship Id="rId141" Type="http://schemas.openxmlformats.org/officeDocument/2006/relationships/image" Target="media/image62.wmf"/><Relationship Id="rId358" Type="http://schemas.openxmlformats.org/officeDocument/2006/relationships/oleObject" Target="embeddings/oleObject163.bin"/><Relationship Id="rId379" Type="http://schemas.openxmlformats.org/officeDocument/2006/relationships/oleObject" Target="embeddings/oleObject177.bin"/><Relationship Id="rId7" Type="http://schemas.openxmlformats.org/officeDocument/2006/relationships/header" Target="header1.xml"/><Relationship Id="rId162" Type="http://schemas.openxmlformats.org/officeDocument/2006/relationships/image" Target="media/image72.wmf"/><Relationship Id="rId183" Type="http://schemas.openxmlformats.org/officeDocument/2006/relationships/oleObject" Target="embeddings/oleObject89.bin"/><Relationship Id="rId218" Type="http://schemas.openxmlformats.org/officeDocument/2006/relationships/image" Target="media/image99.wmf"/><Relationship Id="rId239" Type="http://schemas.openxmlformats.org/officeDocument/2006/relationships/header" Target="header5.xml"/><Relationship Id="rId390" Type="http://schemas.openxmlformats.org/officeDocument/2006/relationships/image" Target="media/image168.emf"/><Relationship Id="rId250" Type="http://schemas.openxmlformats.org/officeDocument/2006/relationships/chart" Target="charts/chart9.xml"/><Relationship Id="rId271" Type="http://schemas.openxmlformats.org/officeDocument/2006/relationships/oleObject" Target="embeddings/oleObject115.bin"/><Relationship Id="rId292" Type="http://schemas.openxmlformats.org/officeDocument/2006/relationships/image" Target="media/image126.wmf"/><Relationship Id="rId306" Type="http://schemas.openxmlformats.org/officeDocument/2006/relationships/image" Target="media/image131.wmf"/><Relationship Id="rId24" Type="http://schemas.openxmlformats.org/officeDocument/2006/relationships/oleObject" Target="embeddings/oleObject7.bin"/><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image" Target="media/image36.wmf"/><Relationship Id="rId110" Type="http://schemas.openxmlformats.org/officeDocument/2006/relationships/image" Target="media/image47.wmf"/><Relationship Id="rId131" Type="http://schemas.openxmlformats.org/officeDocument/2006/relationships/oleObject" Target="embeddings/oleObject62.bin"/><Relationship Id="rId327" Type="http://schemas.openxmlformats.org/officeDocument/2006/relationships/image" Target="media/image139.wmf"/><Relationship Id="rId348" Type="http://schemas.openxmlformats.org/officeDocument/2006/relationships/oleObject" Target="embeddings/oleObject158.bin"/><Relationship Id="rId369" Type="http://schemas.openxmlformats.org/officeDocument/2006/relationships/oleObject" Target="embeddings/oleObject169.bin"/><Relationship Id="rId152" Type="http://schemas.openxmlformats.org/officeDocument/2006/relationships/image" Target="media/image67.wmf"/><Relationship Id="rId173" Type="http://schemas.openxmlformats.org/officeDocument/2006/relationships/oleObject" Target="embeddings/oleObject84.bin"/><Relationship Id="rId194" Type="http://schemas.openxmlformats.org/officeDocument/2006/relationships/image" Target="media/image88.wmf"/><Relationship Id="rId208" Type="http://schemas.openxmlformats.org/officeDocument/2006/relationships/image" Target="media/image95.wmf"/><Relationship Id="rId229" Type="http://schemas.openxmlformats.org/officeDocument/2006/relationships/image" Target="media/image103.png"/><Relationship Id="rId380" Type="http://schemas.openxmlformats.org/officeDocument/2006/relationships/oleObject" Target="embeddings/oleObject178.bin"/><Relationship Id="rId240" Type="http://schemas.openxmlformats.org/officeDocument/2006/relationships/header" Target="header6.xml"/><Relationship Id="rId261" Type="http://schemas.openxmlformats.org/officeDocument/2006/relationships/chart" Target="charts/chart20.xml"/><Relationship Id="rId14" Type="http://schemas.openxmlformats.org/officeDocument/2006/relationships/oleObject" Target="embeddings/oleObject2.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4.bin"/><Relationship Id="rId100" Type="http://schemas.openxmlformats.org/officeDocument/2006/relationships/image" Target="media/image42.wmf"/><Relationship Id="rId282" Type="http://schemas.openxmlformats.org/officeDocument/2006/relationships/oleObject" Target="embeddings/oleObject121.bin"/><Relationship Id="rId317" Type="http://schemas.openxmlformats.org/officeDocument/2006/relationships/image" Target="media/image135.wmf"/><Relationship Id="rId338" Type="http://schemas.openxmlformats.org/officeDocument/2006/relationships/oleObject" Target="embeddings/oleObject153.bin"/><Relationship Id="rId359" Type="http://schemas.openxmlformats.org/officeDocument/2006/relationships/image" Target="media/image155.wmf"/><Relationship Id="rId8" Type="http://schemas.openxmlformats.org/officeDocument/2006/relationships/header" Target="header2.xml"/><Relationship Id="rId98" Type="http://schemas.openxmlformats.org/officeDocument/2006/relationships/image" Target="media/image41.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image" Target="media/image83.wmf"/><Relationship Id="rId219" Type="http://schemas.openxmlformats.org/officeDocument/2006/relationships/oleObject" Target="embeddings/oleObject108.bin"/><Relationship Id="rId370" Type="http://schemas.openxmlformats.org/officeDocument/2006/relationships/image" Target="media/image160.wmf"/><Relationship Id="rId391" Type="http://schemas.openxmlformats.org/officeDocument/2006/relationships/header" Target="header10.xml"/><Relationship Id="rId230" Type="http://schemas.openxmlformats.org/officeDocument/2006/relationships/image" Target="media/image104.png"/><Relationship Id="rId251" Type="http://schemas.openxmlformats.org/officeDocument/2006/relationships/chart" Target="charts/chart10.xml"/><Relationship Id="rId25" Type="http://schemas.openxmlformats.org/officeDocument/2006/relationships/image" Target="media/image7.wmf"/><Relationship Id="rId46" Type="http://schemas.openxmlformats.org/officeDocument/2006/relationships/oleObject" Target="embeddings/oleObject18.bin"/><Relationship Id="rId67" Type="http://schemas.openxmlformats.org/officeDocument/2006/relationships/image" Target="media/image27.wmf"/><Relationship Id="rId272" Type="http://schemas.openxmlformats.org/officeDocument/2006/relationships/image" Target="media/image118.wmf"/><Relationship Id="rId293" Type="http://schemas.openxmlformats.org/officeDocument/2006/relationships/oleObject" Target="embeddings/oleObject128.bin"/><Relationship Id="rId307" Type="http://schemas.openxmlformats.org/officeDocument/2006/relationships/oleObject" Target="embeddings/oleObject137.bin"/><Relationship Id="rId328" Type="http://schemas.openxmlformats.org/officeDocument/2006/relationships/oleObject" Target="embeddings/oleObject148.bin"/><Relationship Id="rId349" Type="http://schemas.openxmlformats.org/officeDocument/2006/relationships/image" Target="media/image150.wmf"/><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image" Target="media/image78.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64.bin"/><Relationship Id="rId381" Type="http://schemas.openxmlformats.org/officeDocument/2006/relationships/oleObject" Target="embeddings/oleObject179.bin"/><Relationship Id="rId220" Type="http://schemas.openxmlformats.org/officeDocument/2006/relationships/oleObject" Target="embeddings/oleObject109.bin"/><Relationship Id="rId241" Type="http://schemas.openxmlformats.org/officeDocument/2006/relationships/header" Target="header7.xml"/><Relationship Id="rId15" Type="http://schemas.openxmlformats.org/officeDocument/2006/relationships/image" Target="media/image2.wmf"/><Relationship Id="rId36" Type="http://schemas.openxmlformats.org/officeDocument/2006/relationships/oleObject" Target="embeddings/oleObject13.bin"/><Relationship Id="rId57" Type="http://schemas.openxmlformats.org/officeDocument/2006/relationships/oleObject" Target="embeddings/oleObject23.bin"/><Relationship Id="rId262" Type="http://schemas.openxmlformats.org/officeDocument/2006/relationships/chart" Target="charts/chart21.xml"/><Relationship Id="rId283" Type="http://schemas.openxmlformats.org/officeDocument/2006/relationships/oleObject" Target="embeddings/oleObject122.bin"/><Relationship Id="rId318" Type="http://schemas.openxmlformats.org/officeDocument/2006/relationships/oleObject" Target="embeddings/oleObject144.bin"/><Relationship Id="rId339" Type="http://schemas.openxmlformats.org/officeDocument/2006/relationships/image" Target="media/image145.wmf"/><Relationship Id="rId78" Type="http://schemas.openxmlformats.org/officeDocument/2006/relationships/image" Target="media/image32.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3.wmf"/><Relationship Id="rId143" Type="http://schemas.openxmlformats.org/officeDocument/2006/relationships/image" Target="media/image63.wmf"/><Relationship Id="rId164" Type="http://schemas.openxmlformats.org/officeDocument/2006/relationships/image" Target="media/image73.wmf"/><Relationship Id="rId185" Type="http://schemas.openxmlformats.org/officeDocument/2006/relationships/oleObject" Target="embeddings/oleObject90.bin"/><Relationship Id="rId350" Type="http://schemas.openxmlformats.org/officeDocument/2006/relationships/oleObject" Target="embeddings/oleObject159.bin"/><Relationship Id="rId371" Type="http://schemas.openxmlformats.org/officeDocument/2006/relationships/oleObject" Target="embeddings/oleObject170.bin"/><Relationship Id="rId9" Type="http://schemas.openxmlformats.org/officeDocument/2006/relationships/footer" Target="footer1.xml"/><Relationship Id="rId210" Type="http://schemas.openxmlformats.org/officeDocument/2006/relationships/oleObject" Target="embeddings/oleObject103.bin"/><Relationship Id="rId392" Type="http://schemas.openxmlformats.org/officeDocument/2006/relationships/header" Target="header11.xml"/><Relationship Id="rId26" Type="http://schemas.openxmlformats.org/officeDocument/2006/relationships/oleObject" Target="embeddings/oleObject8.bin"/><Relationship Id="rId231" Type="http://schemas.openxmlformats.org/officeDocument/2006/relationships/image" Target="media/image105.png"/><Relationship Id="rId252" Type="http://schemas.openxmlformats.org/officeDocument/2006/relationships/chart" Target="charts/chart11.xml"/><Relationship Id="rId273" Type="http://schemas.openxmlformats.org/officeDocument/2006/relationships/oleObject" Target="embeddings/oleObject116.bin"/><Relationship Id="rId294" Type="http://schemas.openxmlformats.org/officeDocument/2006/relationships/image" Target="media/image127.wmf"/><Relationship Id="rId308" Type="http://schemas.openxmlformats.org/officeDocument/2006/relationships/oleObject" Target="embeddings/oleObject138.bin"/><Relationship Id="rId329" Type="http://schemas.openxmlformats.org/officeDocument/2006/relationships/image" Target="media/image140.wmf"/><Relationship Id="rId47" Type="http://schemas.openxmlformats.org/officeDocument/2006/relationships/header" Target="header4.xml"/><Relationship Id="rId68" Type="http://schemas.openxmlformats.org/officeDocument/2006/relationships/oleObject" Target="embeddings/oleObject29.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image" Target="media/image58.wmf"/><Relationship Id="rId154" Type="http://schemas.openxmlformats.org/officeDocument/2006/relationships/image" Target="media/image68.wmf"/><Relationship Id="rId175" Type="http://schemas.openxmlformats.org/officeDocument/2006/relationships/oleObject" Target="embeddings/oleObject85.bin"/><Relationship Id="rId340" Type="http://schemas.openxmlformats.org/officeDocument/2006/relationships/oleObject" Target="embeddings/oleObject154.bin"/><Relationship Id="rId361" Type="http://schemas.openxmlformats.org/officeDocument/2006/relationships/image" Target="media/image156.wmf"/><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image" Target="media/image162.emf"/><Relationship Id="rId16" Type="http://schemas.openxmlformats.org/officeDocument/2006/relationships/oleObject" Target="embeddings/oleObject3.bin"/><Relationship Id="rId221" Type="http://schemas.openxmlformats.org/officeDocument/2006/relationships/image" Target="media/image100.wmf"/><Relationship Id="rId242" Type="http://schemas.openxmlformats.org/officeDocument/2006/relationships/chart" Target="charts/chart1.xml"/><Relationship Id="rId263" Type="http://schemas.openxmlformats.org/officeDocument/2006/relationships/chart" Target="charts/chart22.xml"/><Relationship Id="rId284" Type="http://schemas.openxmlformats.org/officeDocument/2006/relationships/oleObject" Target="embeddings/oleObject123.bin"/><Relationship Id="rId319" Type="http://schemas.openxmlformats.org/officeDocument/2006/relationships/header" Target="header8.xml"/><Relationship Id="rId37" Type="http://schemas.openxmlformats.org/officeDocument/2006/relationships/image" Target="media/image13.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3.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oleObject" Target="embeddings/oleObject149.bin"/><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image" Target="media/image84.wmf"/><Relationship Id="rId351" Type="http://schemas.openxmlformats.org/officeDocument/2006/relationships/image" Target="media/image151.wmf"/><Relationship Id="rId372" Type="http://schemas.openxmlformats.org/officeDocument/2006/relationships/oleObject" Target="embeddings/oleObject171.bin"/><Relationship Id="rId393" Type="http://schemas.openxmlformats.org/officeDocument/2006/relationships/header" Target="header12.xml"/><Relationship Id="rId211" Type="http://schemas.openxmlformats.org/officeDocument/2006/relationships/oleObject" Target="embeddings/oleObject104.bin"/><Relationship Id="rId232" Type="http://schemas.openxmlformats.org/officeDocument/2006/relationships/image" Target="media/image106.png"/><Relationship Id="rId253" Type="http://schemas.openxmlformats.org/officeDocument/2006/relationships/chart" Target="charts/chart12.xml"/><Relationship Id="rId274" Type="http://schemas.openxmlformats.org/officeDocument/2006/relationships/image" Target="media/image119.wmf"/><Relationship Id="rId295" Type="http://schemas.openxmlformats.org/officeDocument/2006/relationships/oleObject" Target="embeddings/oleObject129.bin"/><Relationship Id="rId309" Type="http://schemas.openxmlformats.org/officeDocument/2006/relationships/image" Target="media/image132.wmf"/><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image" Target="media/image28.wmf"/><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image" Target="media/image136.wmf"/><Relationship Id="rId80" Type="http://schemas.openxmlformats.org/officeDocument/2006/relationships/image" Target="media/image33.wmf"/><Relationship Id="rId155" Type="http://schemas.openxmlformats.org/officeDocument/2006/relationships/oleObject" Target="embeddings/oleObject75.bin"/><Relationship Id="rId176" Type="http://schemas.openxmlformats.org/officeDocument/2006/relationships/image" Target="media/image79.wmf"/><Relationship Id="rId197" Type="http://schemas.openxmlformats.org/officeDocument/2006/relationships/oleObject" Target="embeddings/oleObject96.bin"/><Relationship Id="rId341" Type="http://schemas.openxmlformats.org/officeDocument/2006/relationships/image" Target="media/image146.emf"/><Relationship Id="rId362" Type="http://schemas.openxmlformats.org/officeDocument/2006/relationships/oleObject" Target="embeddings/oleObject165.bin"/><Relationship Id="rId383" Type="http://schemas.openxmlformats.org/officeDocument/2006/relationships/oleObject" Target="embeddings/oleObject180.bin"/><Relationship Id="rId201" Type="http://schemas.openxmlformats.org/officeDocument/2006/relationships/oleObject" Target="embeddings/oleObject98.bin"/><Relationship Id="rId222" Type="http://schemas.openxmlformats.org/officeDocument/2006/relationships/oleObject" Target="embeddings/oleObject110.bin"/><Relationship Id="rId243" Type="http://schemas.openxmlformats.org/officeDocument/2006/relationships/chart" Target="charts/chart2.xml"/><Relationship Id="rId264" Type="http://schemas.openxmlformats.org/officeDocument/2006/relationships/chart" Target="charts/chart23.xml"/><Relationship Id="rId285" Type="http://schemas.openxmlformats.org/officeDocument/2006/relationships/image" Target="media/image123.wmf"/><Relationship Id="rId17" Type="http://schemas.openxmlformats.org/officeDocument/2006/relationships/image" Target="media/image3.wmf"/><Relationship Id="rId38" Type="http://schemas.openxmlformats.org/officeDocument/2006/relationships/oleObject" Target="embeddings/oleObject14.bin"/><Relationship Id="rId59" Type="http://schemas.openxmlformats.org/officeDocument/2006/relationships/image" Target="media/image23.wmf"/><Relationship Id="rId103" Type="http://schemas.openxmlformats.org/officeDocument/2006/relationships/oleObject" Target="embeddings/oleObject48.bin"/><Relationship Id="rId124" Type="http://schemas.openxmlformats.org/officeDocument/2006/relationships/image" Target="media/image54.wmf"/><Relationship Id="rId310" Type="http://schemas.openxmlformats.org/officeDocument/2006/relationships/oleObject" Target="embeddings/oleObject139.bin"/><Relationship Id="rId70" Type="http://schemas.openxmlformats.org/officeDocument/2006/relationships/oleObject" Target="embeddings/oleObject30.bin"/><Relationship Id="rId91" Type="http://schemas.openxmlformats.org/officeDocument/2006/relationships/image" Target="media/image38.wmf"/><Relationship Id="rId145" Type="http://schemas.openxmlformats.org/officeDocument/2006/relationships/image" Target="media/image64.wmf"/><Relationship Id="rId166" Type="http://schemas.openxmlformats.org/officeDocument/2006/relationships/image" Target="media/image74.wmf"/><Relationship Id="rId187" Type="http://schemas.openxmlformats.org/officeDocument/2006/relationships/oleObject" Target="embeddings/oleObject91.bin"/><Relationship Id="rId331" Type="http://schemas.openxmlformats.org/officeDocument/2006/relationships/image" Target="media/image141.wmf"/><Relationship Id="rId352" Type="http://schemas.openxmlformats.org/officeDocument/2006/relationships/oleObject" Target="embeddings/oleObject160.bin"/><Relationship Id="rId373" Type="http://schemas.openxmlformats.org/officeDocument/2006/relationships/oleObject" Target="embeddings/oleObject172.bin"/><Relationship Id="rId394" Type="http://schemas.openxmlformats.org/officeDocument/2006/relationships/header" Target="header13.xml"/><Relationship Id="rId1" Type="http://schemas.openxmlformats.org/officeDocument/2006/relationships/numbering" Target="numbering.xml"/><Relationship Id="rId212" Type="http://schemas.openxmlformats.org/officeDocument/2006/relationships/image" Target="media/image96.wmf"/><Relationship Id="rId233" Type="http://schemas.openxmlformats.org/officeDocument/2006/relationships/image" Target="media/image107.png"/><Relationship Id="rId254" Type="http://schemas.openxmlformats.org/officeDocument/2006/relationships/chart" Target="charts/chart13.xml"/><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49.wmf"/><Relationship Id="rId275" Type="http://schemas.openxmlformats.org/officeDocument/2006/relationships/oleObject" Target="embeddings/oleObject117.bin"/><Relationship Id="rId296" Type="http://schemas.openxmlformats.org/officeDocument/2006/relationships/oleObject" Target="embeddings/oleObject130.bin"/><Relationship Id="rId300" Type="http://schemas.openxmlformats.org/officeDocument/2006/relationships/image" Target="media/image129.wmf"/><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image" Target="media/image59.wmf"/><Relationship Id="rId156" Type="http://schemas.openxmlformats.org/officeDocument/2006/relationships/image" Target="media/image69.wmf"/><Relationship Id="rId177" Type="http://schemas.openxmlformats.org/officeDocument/2006/relationships/oleObject" Target="embeddings/oleObject86.bin"/><Relationship Id="rId198" Type="http://schemas.openxmlformats.org/officeDocument/2006/relationships/image" Target="media/image90.wmf"/><Relationship Id="rId321" Type="http://schemas.openxmlformats.org/officeDocument/2006/relationships/oleObject" Target="embeddings/oleObject145.bin"/><Relationship Id="rId342" Type="http://schemas.openxmlformats.org/officeDocument/2006/relationships/oleObject" Target="embeddings/oleObject155.bin"/><Relationship Id="rId363" Type="http://schemas.openxmlformats.org/officeDocument/2006/relationships/image" Target="media/image157.wmf"/><Relationship Id="rId384" Type="http://schemas.openxmlformats.org/officeDocument/2006/relationships/image" Target="media/image163.emf"/><Relationship Id="rId202" Type="http://schemas.openxmlformats.org/officeDocument/2006/relationships/image" Target="media/image92.wmf"/><Relationship Id="rId223" Type="http://schemas.openxmlformats.org/officeDocument/2006/relationships/image" Target="media/image101.wmf"/><Relationship Id="rId244" Type="http://schemas.openxmlformats.org/officeDocument/2006/relationships/chart" Target="charts/chart3.xml"/><Relationship Id="rId18" Type="http://schemas.openxmlformats.org/officeDocument/2006/relationships/oleObject" Target="embeddings/oleObject4.bin"/><Relationship Id="rId39" Type="http://schemas.openxmlformats.org/officeDocument/2006/relationships/image" Target="media/image14.wmf"/><Relationship Id="rId265" Type="http://schemas.openxmlformats.org/officeDocument/2006/relationships/chart" Target="charts/chart24.xml"/><Relationship Id="rId286" Type="http://schemas.openxmlformats.org/officeDocument/2006/relationships/oleObject" Target="embeddings/oleObject124.bin"/><Relationship Id="rId50" Type="http://schemas.openxmlformats.org/officeDocument/2006/relationships/image" Target="media/image19.wmf"/><Relationship Id="rId104" Type="http://schemas.openxmlformats.org/officeDocument/2006/relationships/image" Target="media/image44.wmf"/><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image" Target="media/image85.wmf"/><Relationship Id="rId311" Type="http://schemas.openxmlformats.org/officeDocument/2006/relationships/image" Target="media/image133.wmf"/><Relationship Id="rId332" Type="http://schemas.openxmlformats.org/officeDocument/2006/relationships/oleObject" Target="embeddings/oleObject150.bin"/><Relationship Id="rId353" Type="http://schemas.openxmlformats.org/officeDocument/2006/relationships/image" Target="media/image152.wmf"/><Relationship Id="rId374" Type="http://schemas.openxmlformats.org/officeDocument/2006/relationships/oleObject" Target="embeddings/oleObject173.bin"/><Relationship Id="rId395" Type="http://schemas.openxmlformats.org/officeDocument/2006/relationships/header" Target="header14.xml"/><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5.bin"/><Relationship Id="rId234" Type="http://schemas.openxmlformats.org/officeDocument/2006/relationships/image" Target="media/image108.png"/><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chart" Target="charts/chart14.xml"/><Relationship Id="rId276" Type="http://schemas.openxmlformats.org/officeDocument/2006/relationships/oleObject" Target="embeddings/oleObject118.bin"/><Relationship Id="rId297" Type="http://schemas.openxmlformats.org/officeDocument/2006/relationships/image" Target="media/image128.wmf"/><Relationship Id="rId40" Type="http://schemas.openxmlformats.org/officeDocument/2006/relationships/oleObject" Target="embeddings/oleObject15.bin"/><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0.wmf"/><Relationship Id="rId301" Type="http://schemas.openxmlformats.org/officeDocument/2006/relationships/oleObject" Target="embeddings/oleObject133.bin"/><Relationship Id="rId322" Type="http://schemas.openxmlformats.org/officeDocument/2006/relationships/image" Target="media/image137.wmf"/><Relationship Id="rId343" Type="http://schemas.openxmlformats.org/officeDocument/2006/relationships/image" Target="media/image147.wmf"/><Relationship Id="rId364" Type="http://schemas.openxmlformats.org/officeDocument/2006/relationships/oleObject" Target="embeddings/oleObject166.bin"/><Relationship Id="rId61" Type="http://schemas.openxmlformats.org/officeDocument/2006/relationships/image" Target="media/image24.wmf"/><Relationship Id="rId82" Type="http://schemas.openxmlformats.org/officeDocument/2006/relationships/oleObject" Target="embeddings/oleObject37.bin"/><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oleObject" Target="embeddings/oleObject181.bin"/><Relationship Id="rId19" Type="http://schemas.openxmlformats.org/officeDocument/2006/relationships/image" Target="media/image4.wmf"/><Relationship Id="rId224" Type="http://schemas.openxmlformats.org/officeDocument/2006/relationships/oleObject" Target="embeddings/oleObject111.bin"/><Relationship Id="rId245" Type="http://schemas.openxmlformats.org/officeDocument/2006/relationships/chart" Target="charts/chart4.xml"/><Relationship Id="rId266" Type="http://schemas.openxmlformats.org/officeDocument/2006/relationships/image" Target="media/image115.wmf"/><Relationship Id="rId287" Type="http://schemas.openxmlformats.org/officeDocument/2006/relationships/image" Target="media/image124.wmf"/><Relationship Id="rId30" Type="http://schemas.openxmlformats.org/officeDocument/2006/relationships/oleObject" Target="embeddings/oleObject10.bin"/><Relationship Id="rId105" Type="http://schemas.openxmlformats.org/officeDocument/2006/relationships/oleObject" Target="embeddings/oleObject49.bin"/><Relationship Id="rId126" Type="http://schemas.openxmlformats.org/officeDocument/2006/relationships/image" Target="media/image55.wmf"/><Relationship Id="rId147" Type="http://schemas.openxmlformats.org/officeDocument/2006/relationships/oleObject" Target="embeddings/oleObject71.bin"/><Relationship Id="rId168" Type="http://schemas.openxmlformats.org/officeDocument/2006/relationships/image" Target="media/image75.wmf"/><Relationship Id="rId312" Type="http://schemas.openxmlformats.org/officeDocument/2006/relationships/oleObject" Target="embeddings/oleObject140.bin"/><Relationship Id="rId333" Type="http://schemas.openxmlformats.org/officeDocument/2006/relationships/image" Target="media/image142.wmf"/><Relationship Id="rId354" Type="http://schemas.openxmlformats.org/officeDocument/2006/relationships/oleObject" Target="embeddings/oleObject161.bin"/><Relationship Id="rId51" Type="http://schemas.openxmlformats.org/officeDocument/2006/relationships/oleObject" Target="embeddings/oleObject20.bin"/><Relationship Id="rId72" Type="http://schemas.openxmlformats.org/officeDocument/2006/relationships/image" Target="media/image29.wmf"/><Relationship Id="rId93" Type="http://schemas.openxmlformats.org/officeDocument/2006/relationships/oleObject" Target="embeddings/oleObject43.bin"/><Relationship Id="rId189" Type="http://schemas.openxmlformats.org/officeDocument/2006/relationships/oleObject" Target="embeddings/oleObject92.bin"/><Relationship Id="rId375" Type="http://schemas.openxmlformats.org/officeDocument/2006/relationships/oleObject" Target="embeddings/oleObject174.bin"/><Relationship Id="rId396"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97.wmf"/><Relationship Id="rId235" Type="http://schemas.openxmlformats.org/officeDocument/2006/relationships/image" Target="media/image109.png"/><Relationship Id="rId256" Type="http://schemas.openxmlformats.org/officeDocument/2006/relationships/chart" Target="charts/chart15.xml"/><Relationship Id="rId277" Type="http://schemas.openxmlformats.org/officeDocument/2006/relationships/image" Target="media/image120.wmf"/><Relationship Id="rId298" Type="http://schemas.openxmlformats.org/officeDocument/2006/relationships/oleObject" Target="embeddings/oleObject131.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image" Target="media/image70.wmf"/><Relationship Id="rId302" Type="http://schemas.openxmlformats.org/officeDocument/2006/relationships/oleObject" Target="embeddings/oleObject134.bin"/><Relationship Id="rId323" Type="http://schemas.openxmlformats.org/officeDocument/2006/relationships/oleObject" Target="embeddings/oleObject146.bin"/><Relationship Id="rId344" Type="http://schemas.openxmlformats.org/officeDocument/2006/relationships/oleObject" Target="embeddings/oleObject156.bin"/><Relationship Id="rId20" Type="http://schemas.openxmlformats.org/officeDocument/2006/relationships/oleObject" Target="embeddings/oleObject5.bin"/><Relationship Id="rId41" Type="http://schemas.openxmlformats.org/officeDocument/2006/relationships/image" Target="media/image15.wmf"/><Relationship Id="rId62" Type="http://schemas.openxmlformats.org/officeDocument/2006/relationships/oleObject" Target="embeddings/oleObject26.bin"/><Relationship Id="rId83" Type="http://schemas.openxmlformats.org/officeDocument/2006/relationships/image" Target="media/image34.wmf"/><Relationship Id="rId179" Type="http://schemas.openxmlformats.org/officeDocument/2006/relationships/oleObject" Target="embeddings/oleObject87.bin"/><Relationship Id="rId365" Type="http://schemas.openxmlformats.org/officeDocument/2006/relationships/image" Target="media/image158.wmf"/><Relationship Id="rId386" Type="http://schemas.openxmlformats.org/officeDocument/2006/relationships/image" Target="media/image164.wmf"/><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image" Target="media/image102.wmf"/><Relationship Id="rId246" Type="http://schemas.openxmlformats.org/officeDocument/2006/relationships/chart" Target="charts/chart5.xml"/><Relationship Id="rId267" Type="http://schemas.openxmlformats.org/officeDocument/2006/relationships/oleObject" Target="embeddings/oleObject113.bin"/><Relationship Id="rId288" Type="http://schemas.openxmlformats.org/officeDocument/2006/relationships/oleObject" Target="embeddings/oleObject125.bin"/><Relationship Id="rId106" Type="http://schemas.openxmlformats.org/officeDocument/2006/relationships/image" Target="media/image45.wmf"/><Relationship Id="rId127" Type="http://schemas.openxmlformats.org/officeDocument/2006/relationships/oleObject" Target="embeddings/oleObject60.bin"/><Relationship Id="rId313" Type="http://schemas.openxmlformats.org/officeDocument/2006/relationships/image" Target="media/image134.wmf"/><Relationship Id="rId10" Type="http://schemas.openxmlformats.org/officeDocument/2006/relationships/footer" Target="footer2.xm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2.bin"/><Relationship Id="rId94" Type="http://schemas.openxmlformats.org/officeDocument/2006/relationships/image" Target="media/image39.wmf"/><Relationship Id="rId148" Type="http://schemas.openxmlformats.org/officeDocument/2006/relationships/image" Target="media/image65.wmf"/><Relationship Id="rId169" Type="http://schemas.openxmlformats.org/officeDocument/2006/relationships/oleObject" Target="embeddings/oleObject82.bin"/><Relationship Id="rId334" Type="http://schemas.openxmlformats.org/officeDocument/2006/relationships/oleObject" Target="embeddings/oleObject151.bin"/><Relationship Id="rId355" Type="http://schemas.openxmlformats.org/officeDocument/2006/relationships/image" Target="media/image153.wmf"/><Relationship Id="rId376" Type="http://schemas.openxmlformats.org/officeDocument/2006/relationships/image" Target="media/image161.emf"/><Relationship Id="rId397"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81.wmf"/><Relationship Id="rId215" Type="http://schemas.openxmlformats.org/officeDocument/2006/relationships/oleObject" Target="embeddings/oleObject106.bin"/><Relationship Id="rId236" Type="http://schemas.openxmlformats.org/officeDocument/2006/relationships/image" Target="media/image110.png"/><Relationship Id="rId257" Type="http://schemas.openxmlformats.org/officeDocument/2006/relationships/chart" Target="charts/chart16.xml"/><Relationship Id="rId278" Type="http://schemas.openxmlformats.org/officeDocument/2006/relationships/oleObject" Target="embeddings/oleObject119.bin"/><Relationship Id="rId303" Type="http://schemas.openxmlformats.org/officeDocument/2006/relationships/oleObject" Target="embeddings/oleObject135.bin"/><Relationship Id="rId42" Type="http://schemas.openxmlformats.org/officeDocument/2006/relationships/oleObject" Target="embeddings/oleObject16.bin"/><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image" Target="media/image148.wmf"/><Relationship Id="rId387" Type="http://schemas.openxmlformats.org/officeDocument/2006/relationships/image" Target="media/image165.e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Office_Excel1.xlsx"/><Relationship Id="rId2" Type="http://schemas.openxmlformats.org/officeDocument/2006/relationships/image" Target="../media/image114.jpeg"/><Relationship Id="rId1" Type="http://schemas.openxmlformats.org/officeDocument/2006/relationships/image" Target="../media/image113.jpeg"/><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Office_Excel10.xlsx"/><Relationship Id="rId2" Type="http://schemas.openxmlformats.org/officeDocument/2006/relationships/image" Target="../media/image114.jpeg"/><Relationship Id="rId1" Type="http://schemas.openxmlformats.org/officeDocument/2006/relationships/image" Target="../media/image113.jpeg"/></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Office_Excel11.xlsx"/><Relationship Id="rId2" Type="http://schemas.openxmlformats.org/officeDocument/2006/relationships/image" Target="../media/image114.jpeg"/><Relationship Id="rId1" Type="http://schemas.openxmlformats.org/officeDocument/2006/relationships/image" Target="../media/image113.jpeg"/></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Office_Excel12.xlsx"/><Relationship Id="rId2" Type="http://schemas.openxmlformats.org/officeDocument/2006/relationships/image" Target="../media/image114.jpeg"/><Relationship Id="rId1" Type="http://schemas.openxmlformats.org/officeDocument/2006/relationships/image" Target="../media/image113.jpeg"/></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Office_Excel13.xlsx"/><Relationship Id="rId2" Type="http://schemas.openxmlformats.org/officeDocument/2006/relationships/image" Target="../media/image114.jpeg"/><Relationship Id="rId1" Type="http://schemas.openxmlformats.org/officeDocument/2006/relationships/image" Target="../media/image113.jpeg"/></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Office_Excel14.xlsx"/><Relationship Id="rId2" Type="http://schemas.openxmlformats.org/officeDocument/2006/relationships/image" Target="../media/image114.jpeg"/><Relationship Id="rId1" Type="http://schemas.openxmlformats.org/officeDocument/2006/relationships/image" Target="../media/image113.jpeg"/></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Office_Excel15.xlsx"/><Relationship Id="rId2" Type="http://schemas.openxmlformats.org/officeDocument/2006/relationships/image" Target="../media/image114.jpeg"/><Relationship Id="rId1" Type="http://schemas.openxmlformats.org/officeDocument/2006/relationships/image" Target="../media/image113.jpeg"/></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Office_Excel16.xlsx"/><Relationship Id="rId2" Type="http://schemas.openxmlformats.org/officeDocument/2006/relationships/image" Target="../media/image114.jpeg"/><Relationship Id="rId1" Type="http://schemas.openxmlformats.org/officeDocument/2006/relationships/image" Target="../media/image113.jpeg"/></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Office_Excel17.xlsx"/><Relationship Id="rId2" Type="http://schemas.openxmlformats.org/officeDocument/2006/relationships/image" Target="../media/image114.jpeg"/><Relationship Id="rId1" Type="http://schemas.openxmlformats.org/officeDocument/2006/relationships/image" Target="../media/image113.jpeg"/></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Office_Excel18.xlsx"/><Relationship Id="rId2" Type="http://schemas.openxmlformats.org/officeDocument/2006/relationships/image" Target="../media/image114.jpeg"/><Relationship Id="rId1" Type="http://schemas.openxmlformats.org/officeDocument/2006/relationships/image" Target="../media/image113.jpeg"/></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Office_Excel19.xlsx"/><Relationship Id="rId2" Type="http://schemas.openxmlformats.org/officeDocument/2006/relationships/image" Target="../media/image114.jpeg"/><Relationship Id="rId1" Type="http://schemas.openxmlformats.org/officeDocument/2006/relationships/image" Target="../media/image113.jpeg"/></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Office_Excel2.xlsx"/><Relationship Id="rId2" Type="http://schemas.openxmlformats.org/officeDocument/2006/relationships/image" Target="../media/image114.jpeg"/><Relationship Id="rId1" Type="http://schemas.openxmlformats.org/officeDocument/2006/relationships/image" Target="../media/image113.jpeg"/><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Office_Excel20.xlsx"/><Relationship Id="rId2" Type="http://schemas.openxmlformats.org/officeDocument/2006/relationships/image" Target="../media/image114.jpeg"/><Relationship Id="rId1" Type="http://schemas.openxmlformats.org/officeDocument/2006/relationships/image" Target="../media/image113.jpeg"/></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Office_Excel21.xlsx"/><Relationship Id="rId2" Type="http://schemas.openxmlformats.org/officeDocument/2006/relationships/image" Target="../media/image114.jpeg"/><Relationship Id="rId1" Type="http://schemas.openxmlformats.org/officeDocument/2006/relationships/image" Target="../media/image113.jpeg"/></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Office_Excel22.xlsx"/><Relationship Id="rId2" Type="http://schemas.openxmlformats.org/officeDocument/2006/relationships/image" Target="../media/image114.jpeg"/><Relationship Id="rId1" Type="http://schemas.openxmlformats.org/officeDocument/2006/relationships/image" Target="../media/image113.jpeg"/></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Office_Excel23.xlsx"/><Relationship Id="rId2" Type="http://schemas.openxmlformats.org/officeDocument/2006/relationships/image" Target="../media/image114.jpeg"/><Relationship Id="rId1" Type="http://schemas.openxmlformats.org/officeDocument/2006/relationships/image" Target="../media/image113.jpeg"/></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Office_Excel24.xlsx"/><Relationship Id="rId2" Type="http://schemas.openxmlformats.org/officeDocument/2006/relationships/image" Target="../media/image114.jpeg"/><Relationship Id="rId1" Type="http://schemas.openxmlformats.org/officeDocument/2006/relationships/image" Target="../media/image113.jpeg"/></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Office_Excel3.xlsx"/><Relationship Id="rId2" Type="http://schemas.openxmlformats.org/officeDocument/2006/relationships/image" Target="../media/image114.jpeg"/><Relationship Id="rId1" Type="http://schemas.openxmlformats.org/officeDocument/2006/relationships/image" Target="../media/image113.jpeg"/></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Office_Excel4.xlsx"/><Relationship Id="rId2" Type="http://schemas.openxmlformats.org/officeDocument/2006/relationships/image" Target="../media/image114.jpeg"/><Relationship Id="rId1" Type="http://schemas.openxmlformats.org/officeDocument/2006/relationships/image" Target="../media/image113.jpeg"/></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Office_Excel5.xlsx"/><Relationship Id="rId2" Type="http://schemas.openxmlformats.org/officeDocument/2006/relationships/image" Target="../media/image114.jpeg"/><Relationship Id="rId1" Type="http://schemas.openxmlformats.org/officeDocument/2006/relationships/image" Target="../media/image113.jpeg"/></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Office_Excel6.xlsx"/><Relationship Id="rId2" Type="http://schemas.openxmlformats.org/officeDocument/2006/relationships/image" Target="../media/image114.jpeg"/><Relationship Id="rId1" Type="http://schemas.openxmlformats.org/officeDocument/2006/relationships/image" Target="../media/image113.jpeg"/></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Office_Excel7.xlsx"/><Relationship Id="rId2" Type="http://schemas.openxmlformats.org/officeDocument/2006/relationships/image" Target="../media/image114.jpeg"/><Relationship Id="rId1" Type="http://schemas.openxmlformats.org/officeDocument/2006/relationships/image" Target="../media/image113.jpeg"/></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Office_Excel8.xlsx"/><Relationship Id="rId2" Type="http://schemas.openxmlformats.org/officeDocument/2006/relationships/image" Target="../media/image114.jpeg"/><Relationship Id="rId1" Type="http://schemas.openxmlformats.org/officeDocument/2006/relationships/image" Target="../media/image113.jpeg"/></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Office_Excel9.xlsx"/><Relationship Id="rId2" Type="http://schemas.openxmlformats.org/officeDocument/2006/relationships/image" Target="../media/image114.jpeg"/><Relationship Id="rId1" Type="http://schemas.openxmlformats.org/officeDocument/2006/relationships/image" Target="../media/image11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419913419913426"/>
          <c:y val="4.2402826855123733E-2"/>
          <c:w val="0.77705627705627733"/>
          <c:h val="0.81625441696113099"/>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50000" t="50000" r="50000" b="50000"/>
              </a:path>
            </a:gradFill>
            <a:ln w="12692">
              <a:solidFill>
                <a:srgbClr val="000000"/>
              </a:solidFill>
              <a:prstDash val="solid"/>
            </a:ln>
          </c:spPr>
          <c:dLbls>
            <c:dLbl>
              <c:idx val="0"/>
              <c:layout>
                <c:manualLayout>
                  <c:xMode val="edge"/>
                  <c:yMode val="edge"/>
                  <c:x val="0.27922077922077937"/>
                  <c:y val="7.7738515901060096E-2"/>
                </c:manualLayout>
              </c:layout>
              <c:numFmt formatCode="0.0%" sourceLinked="0"/>
              <c:spPr>
                <a:noFill/>
                <a:ln w="25383">
                  <a:noFill/>
                </a:ln>
              </c:spPr>
              <c:txPr>
                <a:bodyPr/>
                <a:lstStyle/>
                <a:p>
                  <a:pPr>
                    <a:defRPr sz="1149" b="0" i="0" u="none" strike="noStrike" baseline="0">
                      <a:solidFill>
                        <a:srgbClr val="000000"/>
                      </a:solidFill>
                      <a:latin typeface="Arial"/>
                      <a:ea typeface="Arial"/>
                      <a:cs typeface="Arial"/>
                    </a:defRPr>
                  </a:pPr>
                  <a:endParaRPr lang="es-ES"/>
                </a:p>
              </c:txPr>
              <c:dLblPos val="outEnd"/>
              <c:showVal val="1"/>
            </c:dLbl>
            <c:dLbl>
              <c:idx val="1"/>
              <c:tx>
                <c:rich>
                  <a:bodyPr/>
                  <a:lstStyle/>
                  <a:p>
                    <a:r>
                      <a:t>31,7%</a:t>
                    </a:r>
                  </a:p>
                </c:rich>
              </c:tx>
            </c:dLbl>
            <c:spPr>
              <a:noFill/>
              <a:ln w="25383">
                <a:noFill/>
              </a:ln>
            </c:spPr>
            <c:txPr>
              <a:bodyPr/>
              <a:lstStyle/>
              <a:p>
                <a:pPr>
                  <a:defRPr sz="1149" b="0" i="0" u="none" strike="noStrike" baseline="0">
                    <a:solidFill>
                      <a:srgbClr val="000000"/>
                    </a:solidFill>
                    <a:latin typeface="Arial"/>
                    <a:ea typeface="Arial"/>
                    <a:cs typeface="Arial"/>
                  </a:defRPr>
                </a:pPr>
                <a:endParaRPr lang="es-ES"/>
              </a:p>
            </c:txPr>
            <c:showVal val="1"/>
          </c:dLbls>
          <c:val>
            <c:numRef>
              <c:f>'Hist. Frec. Sexo'!$G$3:$G$4</c:f>
              <c:numCache>
                <c:formatCode>.00%</c:formatCode>
                <c:ptCount val="2"/>
                <c:pt idx="0">
                  <c:v>0.68333333333333335</c:v>
                </c:pt>
                <c:pt idx="1">
                  <c:v>0.31666666666666687</c:v>
                </c:pt>
              </c:numCache>
            </c:numRef>
          </c:val>
        </c:ser>
        <c:dLbls>
          <c:showVal val="1"/>
        </c:dLbls>
        <c:axId val="144594432"/>
        <c:axId val="144596352"/>
      </c:barChart>
      <c:dateAx>
        <c:axId val="144594432"/>
        <c:scaling>
          <c:orientation val="minMax"/>
        </c:scaling>
        <c:delete val="1"/>
        <c:axPos val="b"/>
        <c:title>
          <c:tx>
            <c:rich>
              <a:bodyPr/>
              <a:lstStyle/>
              <a:p>
                <a:pPr>
                  <a:defRPr sz="949" b="1" i="0" u="none" strike="noStrike" baseline="0">
                    <a:solidFill>
                      <a:srgbClr val="000000"/>
                    </a:solidFill>
                    <a:latin typeface="Arial"/>
                    <a:ea typeface="Arial"/>
                    <a:cs typeface="Arial"/>
                  </a:defRPr>
                </a:pPr>
                <a:r>
                  <a:t>GÉNERO</a:t>
                </a:r>
              </a:p>
            </c:rich>
          </c:tx>
          <c:layout>
            <c:manualLayout>
              <c:xMode val="edge"/>
              <c:yMode val="edge"/>
              <c:x val="0.46969696969696983"/>
              <c:y val="0.91872791519434649"/>
            </c:manualLayout>
          </c:layout>
          <c:spPr>
            <a:noFill/>
            <a:ln w="25383">
              <a:noFill/>
            </a:ln>
          </c:spPr>
        </c:title>
        <c:tickLblPos val="nextTo"/>
        <c:crossAx val="144596352"/>
        <c:crosses val="autoZero"/>
        <c:lblOffset val="100"/>
      </c:dateAx>
      <c:valAx>
        <c:axId val="144596352"/>
        <c:scaling>
          <c:orientation val="minMax"/>
        </c:scaling>
        <c:axPos val="l"/>
        <c:title>
          <c:tx>
            <c:rich>
              <a:bodyPr/>
              <a:lstStyle/>
              <a:p>
                <a:pPr>
                  <a:defRPr sz="949" b="1" i="0" u="none" strike="noStrike" baseline="0">
                    <a:solidFill>
                      <a:srgbClr val="000000"/>
                    </a:solidFill>
                    <a:latin typeface="Arial"/>
                    <a:ea typeface="Arial"/>
                    <a:cs typeface="Arial"/>
                  </a:defRPr>
                </a:pPr>
                <a:r>
                  <a:t>Frecuencia Relativa</a:t>
                </a:r>
              </a:p>
            </c:rich>
          </c:tx>
          <c:layout>
            <c:manualLayout>
              <c:xMode val="edge"/>
              <c:yMode val="edge"/>
              <c:x val="1.0822510822510826E-2"/>
              <c:y val="0.21908127208480571"/>
            </c:manualLayout>
          </c:layout>
          <c:spPr>
            <a:noFill/>
            <a:ln w="25383">
              <a:noFill/>
            </a:ln>
          </c:spPr>
        </c:title>
        <c:numFmt formatCode="0.0" sourceLinked="0"/>
        <c:tickLblPos val="nextTo"/>
        <c:spPr>
          <a:ln w="3173">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144594432"/>
        <c:crosses val="autoZero"/>
        <c:crossBetween val="between"/>
      </c:valAx>
      <c:spPr>
        <a:blipFill dpi="0" rotWithShape="0">
          <a:blip xmlns:r="http://schemas.openxmlformats.org/officeDocument/2006/relationships" r:embed="rId1"/>
          <a:srcRect/>
          <a:tile tx="0" ty="0" sx="100000" sy="100000" flip="none" algn="tl"/>
        </a:blipFill>
        <a:ln w="12692">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3">
      <a:solidFill>
        <a:srgbClr val="000000"/>
      </a:solidFill>
      <a:prstDash val="solid"/>
    </a:ln>
  </c:spPr>
  <c:txPr>
    <a:bodyPr/>
    <a:lstStyle/>
    <a:p>
      <a:pPr>
        <a:defRPr sz="1149" b="0" i="0" u="none" strike="noStrike" baseline="0">
          <a:solidFill>
            <a:srgbClr val="000000"/>
          </a:solidFill>
          <a:latin typeface="Arial"/>
          <a:ea typeface="Arial"/>
          <a:cs typeface="Arial"/>
        </a:defRPr>
      </a:pPr>
      <a:endParaRPr lang="es-ES"/>
    </a:p>
  </c:txPr>
  <c:externalData r:id="rId3"/>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7.6642335766423361E-2"/>
          <c:w val="0.82629107981220651"/>
          <c:h val="0.6861313868613137"/>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50000" t="50000" r="50000" b="50000"/>
              </a:path>
            </a:gradFill>
            <a:ln w="11953">
              <a:solidFill>
                <a:srgbClr val="000000"/>
              </a:solidFill>
              <a:prstDash val="solid"/>
            </a:ln>
          </c:spPr>
          <c:dLbls>
            <c:dLbl>
              <c:idx val="1"/>
              <c:layout>
                <c:manualLayout>
                  <c:xMode val="edge"/>
                  <c:yMode val="edge"/>
                  <c:x val="0.60798122065727722"/>
                  <c:y val="0.11678832116788321"/>
                </c:manualLayout>
              </c:layout>
              <c:dLblPos val="outEnd"/>
              <c:showVal val="1"/>
            </c:dLbl>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Ingesta Caustica'!$E$2:$E$3</c:f>
              <c:strCache>
                <c:ptCount val="2"/>
                <c:pt idx="0">
                  <c:v>Si</c:v>
                </c:pt>
                <c:pt idx="1">
                  <c:v>No</c:v>
                </c:pt>
              </c:strCache>
            </c:strRef>
          </c:cat>
          <c:val>
            <c:numRef>
              <c:f>'Hist. Frec. Ingesta Caustica'!$I$2:$I$3</c:f>
              <c:numCache>
                <c:formatCode>0%</c:formatCode>
                <c:ptCount val="2"/>
                <c:pt idx="0">
                  <c:v>6.666666666666668E-2</c:v>
                </c:pt>
                <c:pt idx="1">
                  <c:v>0.93333333333333335</c:v>
                </c:pt>
              </c:numCache>
            </c:numRef>
          </c:val>
        </c:ser>
        <c:dLbls>
          <c:showVal val="1"/>
        </c:dLbls>
        <c:axId val="285585408"/>
        <c:axId val="285587328"/>
      </c:barChart>
      <c:catAx>
        <c:axId val="285585408"/>
        <c:scaling>
          <c:orientation val="minMax"/>
        </c:scaling>
        <c:axPos val="b"/>
        <c:title>
          <c:tx>
            <c:rich>
              <a:bodyPr/>
              <a:lstStyle/>
              <a:p>
                <a:pPr>
                  <a:defRPr sz="894" b="1" i="0" u="none" strike="noStrike" baseline="0">
                    <a:solidFill>
                      <a:srgbClr val="000000"/>
                    </a:solidFill>
                    <a:latin typeface="Arial"/>
                    <a:ea typeface="Arial"/>
                    <a:cs typeface="Arial"/>
                  </a:defRPr>
                </a:pPr>
                <a:r>
                  <a:t>Ingesta Caústico</a:t>
                </a:r>
              </a:p>
            </c:rich>
          </c:tx>
          <c:layout>
            <c:manualLayout>
              <c:xMode val="edge"/>
              <c:yMode val="edge"/>
              <c:x val="0.43192488262910822"/>
              <c:y val="0.9124087591240877"/>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5587328"/>
        <c:crosses val="autoZero"/>
        <c:auto val="1"/>
        <c:lblAlgn val="ctr"/>
        <c:lblOffset val="100"/>
        <c:tickLblSkip val="1"/>
        <c:tickMarkSkip val="1"/>
      </c:catAx>
      <c:valAx>
        <c:axId val="285587328"/>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0"/>
              <c:y val="0.20072992700729933"/>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5585408"/>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627737226277389"/>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r="100000" b="100000"/>
              </a:path>
            </a:gradFill>
            <a:ln w="11953">
              <a:solidFill>
                <a:srgbClr val="000000"/>
              </a:solidFill>
              <a:prstDash val="solid"/>
            </a:ln>
          </c:spPr>
          <c:dLbls>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Medicinas'!$E$2:$E$3</c:f>
              <c:strCache>
                <c:ptCount val="2"/>
                <c:pt idx="0">
                  <c:v>Si</c:v>
                </c:pt>
                <c:pt idx="1">
                  <c:v>No</c:v>
                </c:pt>
              </c:strCache>
            </c:strRef>
          </c:cat>
          <c:val>
            <c:numRef>
              <c:f>'Hist. Frec. Medicinas'!$I$2:$I$3</c:f>
              <c:numCache>
                <c:formatCode>0%</c:formatCode>
                <c:ptCount val="2"/>
                <c:pt idx="0">
                  <c:v>0.2</c:v>
                </c:pt>
                <c:pt idx="1">
                  <c:v>0.8</c:v>
                </c:pt>
              </c:numCache>
            </c:numRef>
          </c:val>
        </c:ser>
        <c:dLbls>
          <c:showVal val="1"/>
        </c:dLbls>
        <c:axId val="285898240"/>
        <c:axId val="285900160"/>
      </c:barChart>
      <c:catAx>
        <c:axId val="285898240"/>
        <c:scaling>
          <c:orientation val="minMax"/>
        </c:scaling>
        <c:axPos val="b"/>
        <c:title>
          <c:tx>
            <c:rich>
              <a:bodyPr/>
              <a:lstStyle/>
              <a:p>
                <a:pPr>
                  <a:defRPr sz="894" b="1" i="0" u="none" strike="noStrike" baseline="0">
                    <a:solidFill>
                      <a:srgbClr val="000000"/>
                    </a:solidFill>
                    <a:latin typeface="Arial"/>
                    <a:ea typeface="Arial"/>
                    <a:cs typeface="Arial"/>
                  </a:defRPr>
                </a:pPr>
                <a:r>
                  <a:t>Medicinas</a:t>
                </a:r>
              </a:p>
            </c:rich>
          </c:tx>
          <c:layout>
            <c:manualLayout>
              <c:xMode val="edge"/>
              <c:yMode val="edge"/>
              <c:x val="0.48356807511737104"/>
              <c:y val="0.8795620437956202"/>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5900160"/>
        <c:crosses val="autoZero"/>
        <c:auto val="1"/>
        <c:lblAlgn val="ctr"/>
        <c:lblOffset val="100"/>
        <c:tickLblSkip val="1"/>
        <c:tickMarkSkip val="1"/>
      </c:catAx>
      <c:valAx>
        <c:axId val="285900160"/>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2.582159624413145E-2"/>
              <c:y val="0.16423357664233576"/>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5898240"/>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7.6642335766423361E-2"/>
          <c:w val="0.82629107981220651"/>
          <c:h val="0.6861313868613137"/>
        </c:manualLayout>
      </c:layout>
      <c:barChart>
        <c:barDir val="col"/>
        <c:grouping val="clustered"/>
        <c:ser>
          <c:idx val="0"/>
          <c:order val="0"/>
          <c:spPr>
            <a:gradFill rotWithShape="0">
              <a:gsLst>
                <a:gs pos="0">
                  <a:srgbClr val="FFCC99">
                    <a:gamma/>
                    <a:shade val="46275"/>
                    <a:invGamma/>
                  </a:srgbClr>
                </a:gs>
                <a:gs pos="100000">
                  <a:srgbClr val="FFCC99"/>
                </a:gs>
              </a:gsLst>
              <a:path path="rect">
                <a:fillToRect l="50000" t="50000" r="50000" b="50000"/>
              </a:path>
            </a:gradFill>
            <a:ln w="11953">
              <a:solidFill>
                <a:srgbClr val="000000"/>
              </a:solidFill>
              <a:prstDash val="solid"/>
            </a:ln>
          </c:spPr>
          <c:dLbls>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Esófago Barret'!$E$2:$E$3</c:f>
              <c:strCache>
                <c:ptCount val="2"/>
                <c:pt idx="0">
                  <c:v>Si</c:v>
                </c:pt>
                <c:pt idx="1">
                  <c:v>No</c:v>
                </c:pt>
              </c:strCache>
            </c:strRef>
          </c:cat>
          <c:val>
            <c:numRef>
              <c:f>'Hist. Frec. Esófago Barret'!$I$2:$I$3</c:f>
              <c:numCache>
                <c:formatCode>0.0%</c:formatCode>
                <c:ptCount val="2"/>
                <c:pt idx="0">
                  <c:v>3.333333333333334E-2</c:v>
                </c:pt>
                <c:pt idx="1">
                  <c:v>0.96666666666666667</c:v>
                </c:pt>
              </c:numCache>
            </c:numRef>
          </c:val>
        </c:ser>
        <c:dLbls>
          <c:showVal val="1"/>
        </c:dLbls>
        <c:axId val="286415872"/>
        <c:axId val="286422144"/>
      </c:barChart>
      <c:catAx>
        <c:axId val="286415872"/>
        <c:scaling>
          <c:orientation val="minMax"/>
        </c:scaling>
        <c:axPos val="b"/>
        <c:title>
          <c:tx>
            <c:rich>
              <a:bodyPr/>
              <a:lstStyle/>
              <a:p>
                <a:pPr>
                  <a:defRPr sz="894" b="1" i="0" u="none" strike="noStrike" baseline="0">
                    <a:solidFill>
                      <a:srgbClr val="000000"/>
                    </a:solidFill>
                    <a:latin typeface="Arial"/>
                    <a:ea typeface="Arial"/>
                    <a:cs typeface="Arial"/>
                  </a:defRPr>
                </a:pPr>
                <a:r>
                  <a:t>Esófago de Barret</a:t>
                </a:r>
              </a:p>
            </c:rich>
          </c:tx>
          <c:layout>
            <c:manualLayout>
              <c:xMode val="edge"/>
              <c:yMode val="edge"/>
              <c:x val="0.42723004694835676"/>
              <c:y val="0.87591240875912413"/>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6422144"/>
        <c:crosses val="autoZero"/>
        <c:auto val="1"/>
        <c:lblAlgn val="ctr"/>
        <c:lblOffset val="100"/>
        <c:tickLblSkip val="1"/>
        <c:tickMarkSkip val="1"/>
      </c:catAx>
      <c:valAx>
        <c:axId val="286422144"/>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2.582159624413145E-2"/>
              <c:y val="0.18248175182481757"/>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6415872"/>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262773722627771"/>
        </c:manualLayout>
      </c:layout>
      <c:barChart>
        <c:barDir val="col"/>
        <c:grouping val="clustered"/>
        <c:ser>
          <c:idx val="0"/>
          <c:order val="0"/>
          <c:spPr>
            <a:gradFill rotWithShape="0">
              <a:gsLst>
                <a:gs pos="0">
                  <a:srgbClr val="FFCC99">
                    <a:gamma/>
                    <a:shade val="46275"/>
                    <a:invGamma/>
                  </a:srgbClr>
                </a:gs>
                <a:gs pos="50000">
                  <a:srgbClr val="FFCC99"/>
                </a:gs>
                <a:gs pos="100000">
                  <a:srgbClr val="FFCC99">
                    <a:gamma/>
                    <a:shade val="46275"/>
                    <a:invGamma/>
                  </a:srgbClr>
                </a:gs>
              </a:gsLst>
              <a:lin ang="2700000" scaled="1"/>
            </a:gradFill>
            <a:ln w="11953">
              <a:solidFill>
                <a:srgbClr val="000000"/>
              </a:solidFill>
              <a:prstDash val="solid"/>
            </a:ln>
          </c:spPr>
          <c:dLbls>
            <c:dLbl>
              <c:idx val="1"/>
              <c:layout>
                <c:manualLayout>
                  <c:xMode val="edge"/>
                  <c:yMode val="edge"/>
                  <c:x val="0.72065727699530535"/>
                  <c:y val="3.6496350364963515E-2"/>
                </c:manualLayout>
              </c:layout>
              <c:dLblPos val="outEnd"/>
              <c:showVal val="1"/>
            </c:dLbl>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R.G.E.'!$E$2:$E$3</c:f>
              <c:strCache>
                <c:ptCount val="2"/>
                <c:pt idx="0">
                  <c:v>Si</c:v>
                </c:pt>
                <c:pt idx="1">
                  <c:v>No</c:v>
                </c:pt>
              </c:strCache>
            </c:strRef>
          </c:cat>
          <c:val>
            <c:numRef>
              <c:f>'Hist. Frec. R.G.E.'!$I$2:$I$3</c:f>
              <c:numCache>
                <c:formatCode>0.0%</c:formatCode>
                <c:ptCount val="2"/>
                <c:pt idx="0">
                  <c:v>0.10833333333333336</c:v>
                </c:pt>
                <c:pt idx="1">
                  <c:v>0.8916666666666665</c:v>
                </c:pt>
              </c:numCache>
            </c:numRef>
          </c:val>
        </c:ser>
        <c:dLbls>
          <c:showVal val="1"/>
        </c:dLbls>
        <c:axId val="286470912"/>
        <c:axId val="286472832"/>
      </c:barChart>
      <c:catAx>
        <c:axId val="286470912"/>
        <c:scaling>
          <c:orientation val="minMax"/>
        </c:scaling>
        <c:axPos val="b"/>
        <c:title>
          <c:tx>
            <c:rich>
              <a:bodyPr/>
              <a:lstStyle/>
              <a:p>
                <a:pPr>
                  <a:defRPr sz="894" b="1" i="0" u="none" strike="noStrike" baseline="0">
                    <a:solidFill>
                      <a:srgbClr val="000000"/>
                    </a:solidFill>
                    <a:latin typeface="Arial"/>
                    <a:ea typeface="Arial"/>
                    <a:cs typeface="Arial"/>
                  </a:defRPr>
                </a:pPr>
                <a:r>
                  <a:t>R.G.E.</a:t>
                </a:r>
              </a:p>
            </c:rich>
          </c:tx>
          <c:layout>
            <c:manualLayout>
              <c:xMode val="edge"/>
              <c:yMode val="edge"/>
              <c:x val="0.51173708920187788"/>
              <c:y val="0.9124087591240877"/>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6472832"/>
        <c:crosses val="autoZero"/>
        <c:auto val="1"/>
        <c:lblAlgn val="ctr"/>
        <c:lblOffset val="100"/>
        <c:tickLblSkip val="1"/>
        <c:tickMarkSkip val="1"/>
      </c:catAx>
      <c:valAx>
        <c:axId val="286472832"/>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0"/>
              <c:y val="0.16788321167883211"/>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6470912"/>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58823529411771"/>
          <c:y val="4.5871559633027512E-2"/>
          <c:w val="0.8"/>
          <c:h val="0.6834862385321101"/>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t="100000" r="100000"/>
              </a:path>
            </a:gradFill>
            <a:ln w="12679">
              <a:solidFill>
                <a:srgbClr val="000000"/>
              </a:solidFill>
              <a:prstDash val="solid"/>
            </a:ln>
          </c:spPr>
          <c:dLbls>
            <c:spPr>
              <a:noFill/>
              <a:ln w="25358">
                <a:noFill/>
              </a:ln>
            </c:spPr>
            <c:txPr>
              <a:bodyPr/>
              <a:lstStyle/>
              <a:p>
                <a:pPr>
                  <a:defRPr sz="799" b="1" i="1" u="none" strike="noStrike" baseline="0">
                    <a:solidFill>
                      <a:srgbClr val="000000"/>
                    </a:solidFill>
                    <a:latin typeface="Arial"/>
                    <a:ea typeface="Arial"/>
                    <a:cs typeface="Arial"/>
                  </a:defRPr>
                </a:pPr>
                <a:endParaRPr lang="es-ES"/>
              </a:p>
            </c:txPr>
            <c:showVal val="1"/>
          </c:dLbls>
          <c:cat>
            <c:strRef>
              <c:f>'Hist. Frec. Acalacia'!$E$2:$E$3</c:f>
              <c:strCache>
                <c:ptCount val="2"/>
                <c:pt idx="0">
                  <c:v>Si</c:v>
                </c:pt>
                <c:pt idx="1">
                  <c:v>No</c:v>
                </c:pt>
              </c:strCache>
            </c:strRef>
          </c:cat>
          <c:val>
            <c:numRef>
              <c:f>'Hist. Frec. Acalacia'!$I$2:$I$3</c:f>
              <c:numCache>
                <c:formatCode>0.0%</c:formatCode>
                <c:ptCount val="2"/>
                <c:pt idx="0">
                  <c:v>2.5000000000000001E-2</c:v>
                </c:pt>
                <c:pt idx="1">
                  <c:v>0.9750000000000002</c:v>
                </c:pt>
              </c:numCache>
            </c:numRef>
          </c:val>
        </c:ser>
        <c:dLbls>
          <c:showVal val="1"/>
        </c:dLbls>
        <c:axId val="286849280"/>
        <c:axId val="286990720"/>
      </c:barChart>
      <c:catAx>
        <c:axId val="286849280"/>
        <c:scaling>
          <c:orientation val="minMax"/>
        </c:scaling>
        <c:axPos val="b"/>
        <c:title>
          <c:tx>
            <c:rich>
              <a:bodyPr/>
              <a:lstStyle/>
              <a:p>
                <a:pPr>
                  <a:defRPr sz="799" b="1" i="0" u="none" strike="noStrike" baseline="0">
                    <a:solidFill>
                      <a:srgbClr val="000000"/>
                    </a:solidFill>
                    <a:latin typeface="Arial"/>
                    <a:ea typeface="Arial"/>
                    <a:cs typeface="Arial"/>
                  </a:defRPr>
                </a:pPr>
                <a:r>
                  <a:t>Acalasia</a:t>
                </a:r>
              </a:p>
            </c:rich>
          </c:tx>
          <c:layout>
            <c:manualLayout>
              <c:xMode val="edge"/>
              <c:yMode val="edge"/>
              <c:x val="0.5"/>
              <c:y val="0.85321100917431192"/>
            </c:manualLayout>
          </c:layout>
          <c:spPr>
            <a:noFill/>
            <a:ln w="25358">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6990720"/>
        <c:crosses val="autoZero"/>
        <c:auto val="1"/>
        <c:lblAlgn val="ctr"/>
        <c:lblOffset val="100"/>
        <c:tickLblSkip val="1"/>
        <c:tickMarkSkip val="1"/>
      </c:catAx>
      <c:valAx>
        <c:axId val="286990720"/>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3.5294117647058837E-2"/>
              <c:y val="0.13761467889908258"/>
            </c:manualLayout>
          </c:layout>
          <c:spPr>
            <a:noFill/>
            <a:ln w="25358">
              <a:noFill/>
            </a:ln>
          </c:spPr>
        </c:title>
        <c:numFmt formatCode="General" sourceLinked="0"/>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6849280"/>
        <c:crosses val="autoZero"/>
        <c:crossBetween val="between"/>
      </c:valAx>
      <c:spPr>
        <a:blipFill dpi="0" rotWithShape="0">
          <a:blip xmlns:r="http://schemas.openxmlformats.org/officeDocument/2006/relationships" r:embed="rId1"/>
          <a:srcRect/>
          <a:tile tx="0" ty="0" sx="100000" sy="100000" flip="none" algn="tl"/>
        </a:blipFill>
        <a:ln w="12679">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58823529411771"/>
          <c:y val="9.1743119266055023E-2"/>
          <c:w val="0.8"/>
          <c:h val="0.63302752293578002"/>
        </c:manualLayout>
      </c:layout>
      <c:barChart>
        <c:barDir val="col"/>
        <c:grouping val="clustered"/>
        <c:ser>
          <c:idx val="0"/>
          <c:order val="0"/>
          <c:spPr>
            <a:gradFill rotWithShape="0">
              <a:gsLst>
                <a:gs pos="0">
                  <a:srgbClr val="FFCC99"/>
                </a:gs>
                <a:gs pos="100000">
                  <a:srgbClr val="FFCC99">
                    <a:gamma/>
                    <a:shade val="46275"/>
                    <a:invGamma/>
                  </a:srgbClr>
                </a:gs>
              </a:gsLst>
              <a:lin ang="2700000" scaled="1"/>
            </a:gradFill>
            <a:ln w="12679">
              <a:solidFill>
                <a:srgbClr val="000000"/>
              </a:solidFill>
              <a:prstDash val="solid"/>
            </a:ln>
          </c:spPr>
          <c:dLbls>
            <c:dLbl>
              <c:idx val="1"/>
              <c:layout>
                <c:manualLayout>
                  <c:xMode val="edge"/>
                  <c:yMode val="edge"/>
                  <c:x val="0.61470588235294144"/>
                  <c:y val="0.10550458715596332"/>
                </c:manualLayout>
              </c:layout>
              <c:dLblPos val="outEnd"/>
              <c:showVal val="1"/>
            </c:dLbl>
            <c:spPr>
              <a:noFill/>
              <a:ln w="25358">
                <a:noFill/>
              </a:ln>
            </c:spPr>
            <c:txPr>
              <a:bodyPr/>
              <a:lstStyle/>
              <a:p>
                <a:pPr>
                  <a:defRPr sz="799" b="1" i="1" u="none" strike="noStrike" baseline="0">
                    <a:solidFill>
                      <a:srgbClr val="000000"/>
                    </a:solidFill>
                    <a:latin typeface="Arial"/>
                    <a:ea typeface="Arial"/>
                    <a:cs typeface="Arial"/>
                  </a:defRPr>
                </a:pPr>
                <a:endParaRPr lang="es-ES"/>
              </a:p>
            </c:txPr>
            <c:showVal val="1"/>
          </c:dLbls>
          <c:cat>
            <c:strRef>
              <c:f>'Hist. Frec. Enferm. Venereas'!$E$2:$E$3</c:f>
              <c:strCache>
                <c:ptCount val="2"/>
                <c:pt idx="0">
                  <c:v>Si</c:v>
                </c:pt>
                <c:pt idx="1">
                  <c:v>No</c:v>
                </c:pt>
              </c:strCache>
            </c:strRef>
          </c:cat>
          <c:val>
            <c:numRef>
              <c:f>'Hist. Frec. Enferm. Venereas'!$I$2:$I$3</c:f>
              <c:numCache>
                <c:formatCode>0%</c:formatCode>
                <c:ptCount val="2"/>
                <c:pt idx="0">
                  <c:v>0.05</c:v>
                </c:pt>
                <c:pt idx="1">
                  <c:v>0.95000000000000018</c:v>
                </c:pt>
              </c:numCache>
            </c:numRef>
          </c:val>
        </c:ser>
        <c:dLbls>
          <c:showVal val="1"/>
        </c:dLbls>
        <c:axId val="287334400"/>
        <c:axId val="287336320"/>
      </c:barChart>
      <c:catAx>
        <c:axId val="287334400"/>
        <c:scaling>
          <c:orientation val="minMax"/>
        </c:scaling>
        <c:axPos val="b"/>
        <c:title>
          <c:tx>
            <c:rich>
              <a:bodyPr/>
              <a:lstStyle/>
              <a:p>
                <a:pPr>
                  <a:defRPr sz="799" b="1" i="0" u="none" strike="noStrike" baseline="0">
                    <a:solidFill>
                      <a:srgbClr val="000000"/>
                    </a:solidFill>
                    <a:latin typeface="Arial"/>
                    <a:ea typeface="Arial"/>
                    <a:cs typeface="Arial"/>
                  </a:defRPr>
                </a:pPr>
                <a:r>
                  <a:t>Enfermedades Venéreas</a:t>
                </a:r>
              </a:p>
            </c:rich>
          </c:tx>
          <c:layout>
            <c:manualLayout>
              <c:xMode val="edge"/>
              <c:yMode val="edge"/>
              <c:x val="0.35000000000000009"/>
              <c:y val="0.88532110091743099"/>
            </c:manualLayout>
          </c:layout>
          <c:spPr>
            <a:noFill/>
            <a:ln w="25358">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7336320"/>
        <c:crosses val="autoZero"/>
        <c:auto val="1"/>
        <c:lblAlgn val="ctr"/>
        <c:lblOffset val="100"/>
        <c:tickLblSkip val="1"/>
        <c:tickMarkSkip val="1"/>
      </c:catAx>
      <c:valAx>
        <c:axId val="287336320"/>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8.8235294117647092E-3"/>
              <c:y val="0.17889908256880743"/>
            </c:manualLayout>
          </c:layout>
          <c:spPr>
            <a:noFill/>
            <a:ln w="25358">
              <a:noFill/>
            </a:ln>
          </c:spPr>
        </c:title>
        <c:numFmt formatCode="General" sourceLinked="0"/>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7334400"/>
        <c:crosses val="autoZero"/>
        <c:crossBetween val="between"/>
      </c:valAx>
      <c:spPr>
        <a:blipFill dpi="0" rotWithShape="0">
          <a:blip xmlns:r="http://schemas.openxmlformats.org/officeDocument/2006/relationships" r:embed="rId1"/>
          <a:srcRect/>
          <a:tile tx="0" ty="0" sx="100000" sy="100000" flip="none" algn="tl"/>
        </a:blipFill>
        <a:ln w="12679">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627737226277389"/>
        </c:manualLayout>
      </c:layout>
      <c:barChart>
        <c:barDir val="col"/>
        <c:grouping val="clustered"/>
        <c:ser>
          <c:idx val="0"/>
          <c:order val="0"/>
          <c:spPr>
            <a:gradFill rotWithShape="0">
              <a:gsLst>
                <a:gs pos="0">
                  <a:srgbClr val="FFCC99"/>
                </a:gs>
                <a:gs pos="50000">
                  <a:srgbClr val="FFCC99">
                    <a:gamma/>
                    <a:shade val="46275"/>
                    <a:invGamma/>
                  </a:srgbClr>
                </a:gs>
                <a:gs pos="100000">
                  <a:srgbClr val="FFCC99"/>
                </a:gs>
              </a:gsLst>
              <a:lin ang="18900000" scaled="1"/>
            </a:gradFill>
            <a:ln w="12679">
              <a:solidFill>
                <a:srgbClr val="000000"/>
              </a:solidFill>
              <a:prstDash val="solid"/>
            </a:ln>
          </c:spPr>
          <c:dLbls>
            <c:dLbl>
              <c:idx val="0"/>
              <c:layout>
                <c:manualLayout>
                  <c:xMode val="edge"/>
                  <c:yMode val="edge"/>
                  <c:x val="0.32394366197183122"/>
                  <c:y val="4.3795620437956248E-2"/>
                </c:manualLayout>
              </c:layout>
              <c:dLblPos val="outEnd"/>
              <c:showVal val="1"/>
            </c:dLbl>
            <c:spPr>
              <a:noFill/>
              <a:ln w="25358">
                <a:noFill/>
              </a:ln>
            </c:spPr>
            <c:txPr>
              <a:bodyPr/>
              <a:lstStyle/>
              <a:p>
                <a:pPr>
                  <a:defRPr sz="948" b="0" i="0" u="none" strike="noStrike" baseline="0">
                    <a:solidFill>
                      <a:srgbClr val="000000"/>
                    </a:solidFill>
                    <a:latin typeface="Arial"/>
                    <a:ea typeface="Arial"/>
                    <a:cs typeface="Arial"/>
                  </a:defRPr>
                </a:pPr>
                <a:endParaRPr lang="es-ES"/>
              </a:p>
            </c:txPr>
            <c:showVal val="1"/>
          </c:dLbls>
          <c:cat>
            <c:strRef>
              <c:f>'Hist. Frec. Cirugia'!$E$2:$E$3</c:f>
              <c:strCache>
                <c:ptCount val="2"/>
                <c:pt idx="0">
                  <c:v>Si</c:v>
                </c:pt>
                <c:pt idx="1">
                  <c:v>No</c:v>
                </c:pt>
              </c:strCache>
            </c:strRef>
          </c:cat>
          <c:val>
            <c:numRef>
              <c:f>'Hist. Frec. Cirugia'!$I$2:$I$3</c:f>
              <c:numCache>
                <c:formatCode>0%</c:formatCode>
                <c:ptCount val="2"/>
                <c:pt idx="0">
                  <c:v>0.7250000000000002</c:v>
                </c:pt>
                <c:pt idx="1">
                  <c:v>0.27500000000000002</c:v>
                </c:pt>
              </c:numCache>
            </c:numRef>
          </c:val>
        </c:ser>
        <c:dLbls>
          <c:showVal val="1"/>
        </c:dLbls>
        <c:axId val="287393280"/>
        <c:axId val="287395200"/>
      </c:barChart>
      <c:catAx>
        <c:axId val="287393280"/>
        <c:scaling>
          <c:orientation val="minMax"/>
        </c:scaling>
        <c:axPos val="b"/>
        <c:title>
          <c:tx>
            <c:rich>
              <a:bodyPr/>
              <a:lstStyle/>
              <a:p>
                <a:pPr>
                  <a:defRPr sz="948" b="1" i="0" u="none" strike="noStrike" baseline="0">
                    <a:solidFill>
                      <a:srgbClr val="000000"/>
                    </a:solidFill>
                    <a:latin typeface="Arial"/>
                    <a:ea typeface="Arial"/>
                    <a:cs typeface="Arial"/>
                  </a:defRPr>
                </a:pPr>
                <a:r>
                  <a:t>Cirugia</a:t>
                </a:r>
              </a:p>
            </c:rich>
          </c:tx>
          <c:layout>
            <c:manualLayout>
              <c:xMode val="edge"/>
              <c:yMode val="edge"/>
              <c:x val="0.50469483568075135"/>
              <c:y val="0.8795620437956202"/>
            </c:manualLayout>
          </c:layout>
          <c:spPr>
            <a:noFill/>
            <a:ln w="25358">
              <a:noFill/>
            </a:ln>
          </c:spPr>
        </c:title>
        <c:numFmt formatCode="General" sourceLinked="1"/>
        <c:tickLblPos val="nextTo"/>
        <c:spPr>
          <a:ln w="317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287395200"/>
        <c:crosses val="autoZero"/>
        <c:auto val="1"/>
        <c:lblAlgn val="ctr"/>
        <c:lblOffset val="100"/>
        <c:tickLblSkip val="1"/>
        <c:tickMarkSkip val="1"/>
      </c:catAx>
      <c:valAx>
        <c:axId val="287395200"/>
        <c:scaling>
          <c:orientation val="minMax"/>
        </c:scaling>
        <c:axPos val="l"/>
        <c:title>
          <c:tx>
            <c:rich>
              <a:bodyPr/>
              <a:lstStyle/>
              <a:p>
                <a:pPr>
                  <a:defRPr sz="948" b="1" i="0" u="none" strike="noStrike" baseline="0">
                    <a:solidFill>
                      <a:srgbClr val="000000"/>
                    </a:solidFill>
                    <a:latin typeface="Arial"/>
                    <a:ea typeface="Arial"/>
                    <a:cs typeface="Arial"/>
                  </a:defRPr>
                </a:pPr>
                <a:r>
                  <a:t>Frecuencia Relativa</a:t>
                </a:r>
              </a:p>
            </c:rich>
          </c:tx>
          <c:layout>
            <c:manualLayout>
              <c:xMode val="edge"/>
              <c:yMode val="edge"/>
              <c:x val="4.6948356807511738E-3"/>
              <c:y val="0.18248175182481757"/>
            </c:manualLayout>
          </c:layout>
          <c:spPr>
            <a:noFill/>
            <a:ln w="25358">
              <a:noFill/>
            </a:ln>
          </c:spPr>
        </c:title>
        <c:numFmt formatCode="General" sourceLinked="0"/>
        <c:tickLblPos val="nextTo"/>
        <c:spPr>
          <a:ln w="317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287393280"/>
        <c:crosses val="autoZero"/>
        <c:crossBetween val="between"/>
      </c:valAx>
      <c:spPr>
        <a:blipFill dpi="0" rotWithShape="0">
          <a:blip xmlns:r="http://schemas.openxmlformats.org/officeDocument/2006/relationships" r:embed="rId1"/>
          <a:srcRect/>
          <a:tile tx="0" ty="0" sx="100000" sy="100000" flip="none" algn="tl"/>
        </a:blipFill>
        <a:ln w="12679">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0">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627737226277389"/>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100000" t="100000"/>
              </a:path>
            </a:gradFill>
            <a:ln w="11953">
              <a:solidFill>
                <a:srgbClr val="000000"/>
              </a:solidFill>
              <a:prstDash val="solid"/>
            </a:ln>
          </c:spPr>
          <c:dLbls>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Cáncer Epidermoide'!$E$2:$E$3</c:f>
              <c:strCache>
                <c:ptCount val="2"/>
                <c:pt idx="0">
                  <c:v>Si</c:v>
                </c:pt>
                <c:pt idx="1">
                  <c:v>No</c:v>
                </c:pt>
              </c:strCache>
            </c:strRef>
          </c:cat>
          <c:val>
            <c:numRef>
              <c:f>'Hist. Frec. Cáncer Epidermoide'!$I$2:$I$3</c:f>
              <c:numCache>
                <c:formatCode>0.0%</c:formatCode>
                <c:ptCount val="2"/>
                <c:pt idx="0">
                  <c:v>1.6666666666666673E-2</c:v>
                </c:pt>
                <c:pt idx="1">
                  <c:v>0.98333333333333328</c:v>
                </c:pt>
              </c:numCache>
            </c:numRef>
          </c:val>
        </c:ser>
        <c:dLbls>
          <c:showVal val="1"/>
        </c:dLbls>
        <c:axId val="287763456"/>
        <c:axId val="287945856"/>
      </c:barChart>
      <c:catAx>
        <c:axId val="287763456"/>
        <c:scaling>
          <c:orientation val="minMax"/>
        </c:scaling>
        <c:axPos val="b"/>
        <c:title>
          <c:tx>
            <c:rich>
              <a:bodyPr/>
              <a:lstStyle/>
              <a:p>
                <a:pPr>
                  <a:defRPr sz="894" b="1" i="0" u="none" strike="noStrike" baseline="0">
                    <a:solidFill>
                      <a:srgbClr val="000000"/>
                    </a:solidFill>
                    <a:latin typeface="Arial"/>
                    <a:ea typeface="Arial"/>
                    <a:cs typeface="Arial"/>
                  </a:defRPr>
                </a:pPr>
                <a:r>
                  <a:t>Cáncer Epidermoide</a:t>
                </a:r>
              </a:p>
            </c:rich>
          </c:tx>
          <c:layout>
            <c:manualLayout>
              <c:xMode val="edge"/>
              <c:yMode val="edge"/>
              <c:x val="0.40610328638497661"/>
              <c:y val="0.8795620437956202"/>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7945856"/>
        <c:crosses val="autoZero"/>
        <c:auto val="1"/>
        <c:lblAlgn val="ctr"/>
        <c:lblOffset val="100"/>
        <c:tickLblSkip val="1"/>
        <c:tickMarkSkip val="1"/>
      </c:catAx>
      <c:valAx>
        <c:axId val="287945856"/>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0"/>
              <c:y val="0.16788321167883211"/>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7763456"/>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627737226277389"/>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50000" t="50000" r="50000" b="50000"/>
              </a:path>
            </a:gradFill>
            <a:ln w="11953">
              <a:solidFill>
                <a:srgbClr val="000000"/>
              </a:solidFill>
              <a:prstDash val="solid"/>
            </a:ln>
          </c:spPr>
          <c:dLbls>
            <c:dLbl>
              <c:idx val="1"/>
              <c:layout>
                <c:manualLayout>
                  <c:xMode val="edge"/>
                  <c:yMode val="edge"/>
                  <c:x val="0.61267605633802857"/>
                  <c:y val="6.9343065693430683E-2"/>
                </c:manualLayout>
              </c:layout>
              <c:dLblPos val="outEnd"/>
              <c:showVal val="1"/>
            </c:dLbl>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Padre con Cáncer'!$E$2:$E$3</c:f>
              <c:strCache>
                <c:ptCount val="2"/>
                <c:pt idx="0">
                  <c:v>Si</c:v>
                </c:pt>
                <c:pt idx="1">
                  <c:v>No</c:v>
                </c:pt>
              </c:strCache>
            </c:strRef>
          </c:cat>
          <c:val>
            <c:numRef>
              <c:f>'Hist. Frec. Padre con Cáncer'!$I$2:$I$3</c:f>
              <c:numCache>
                <c:formatCode>0%</c:formatCode>
                <c:ptCount val="2"/>
                <c:pt idx="0">
                  <c:v>0.25</c:v>
                </c:pt>
                <c:pt idx="1">
                  <c:v>0.75000000000000022</c:v>
                </c:pt>
              </c:numCache>
            </c:numRef>
          </c:val>
        </c:ser>
        <c:dLbls>
          <c:showVal val="1"/>
        </c:dLbls>
        <c:axId val="288256768"/>
        <c:axId val="288258688"/>
      </c:barChart>
      <c:catAx>
        <c:axId val="288256768"/>
        <c:scaling>
          <c:orientation val="minMax"/>
        </c:scaling>
        <c:axPos val="b"/>
        <c:title>
          <c:tx>
            <c:rich>
              <a:bodyPr/>
              <a:lstStyle/>
              <a:p>
                <a:pPr>
                  <a:defRPr sz="894" b="1" i="0" u="none" strike="noStrike" baseline="0">
                    <a:solidFill>
                      <a:srgbClr val="000000"/>
                    </a:solidFill>
                    <a:latin typeface="Arial"/>
                    <a:ea typeface="Arial"/>
                    <a:cs typeface="Arial"/>
                  </a:defRPr>
                </a:pPr>
                <a:r>
                  <a:t>Padre con Cáncer</a:t>
                </a:r>
              </a:p>
            </c:rich>
          </c:tx>
          <c:layout>
            <c:manualLayout>
              <c:xMode val="edge"/>
              <c:yMode val="edge"/>
              <c:x val="0.42488262910798152"/>
              <c:y val="0.8795620437956202"/>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8258688"/>
        <c:crosses val="autoZero"/>
        <c:auto val="1"/>
        <c:lblAlgn val="ctr"/>
        <c:lblOffset val="100"/>
        <c:tickLblSkip val="1"/>
        <c:tickMarkSkip val="1"/>
      </c:catAx>
      <c:valAx>
        <c:axId val="288258688"/>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4.6948356807511738E-3"/>
              <c:y val="0.14598540145985406"/>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8256768"/>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524216524216528"/>
          <c:y val="4.6296296296296315E-2"/>
          <c:w val="0.80626780626780625"/>
          <c:h val="0.68055555555555569"/>
        </c:manualLayout>
      </c:layout>
      <c:barChart>
        <c:barDir val="col"/>
        <c:grouping val="clustered"/>
        <c:ser>
          <c:idx val="0"/>
          <c:order val="0"/>
          <c:spPr>
            <a:gradFill rotWithShape="0">
              <a:gsLst>
                <a:gs pos="0">
                  <a:srgbClr val="FFCC99">
                    <a:gamma/>
                    <a:shade val="46275"/>
                    <a:invGamma/>
                  </a:srgbClr>
                </a:gs>
                <a:gs pos="100000">
                  <a:srgbClr val="FFCC99"/>
                </a:gs>
              </a:gsLst>
              <a:path path="rect">
                <a:fillToRect l="50000" t="50000" r="50000" b="50000"/>
              </a:path>
            </a:gradFill>
            <a:ln w="12684">
              <a:solidFill>
                <a:srgbClr val="000000"/>
              </a:solidFill>
              <a:prstDash val="solid"/>
            </a:ln>
          </c:spPr>
          <c:dLbls>
            <c:spPr>
              <a:noFill/>
              <a:ln w="25369">
                <a:noFill/>
              </a:ln>
            </c:spPr>
            <c:txPr>
              <a:bodyPr/>
              <a:lstStyle/>
              <a:p>
                <a:pPr>
                  <a:defRPr sz="799" b="1" i="1" u="none" strike="noStrike" baseline="0">
                    <a:solidFill>
                      <a:srgbClr val="000000"/>
                    </a:solidFill>
                    <a:latin typeface="Arial"/>
                    <a:ea typeface="Arial"/>
                    <a:cs typeface="Arial"/>
                  </a:defRPr>
                </a:pPr>
                <a:endParaRPr lang="es-ES"/>
              </a:p>
            </c:txPr>
            <c:showVal val="1"/>
          </c:dLbls>
          <c:cat>
            <c:strRef>
              <c:f>'Hist. Frec. Madre con Madre'!$E$2:$E$3</c:f>
              <c:strCache>
                <c:ptCount val="2"/>
                <c:pt idx="0">
                  <c:v>Si</c:v>
                </c:pt>
                <c:pt idx="1">
                  <c:v>No</c:v>
                </c:pt>
              </c:strCache>
            </c:strRef>
          </c:cat>
          <c:val>
            <c:numRef>
              <c:f>'Hist. Frec. Madre con Madre'!$I$2:$I$3</c:f>
              <c:numCache>
                <c:formatCode>0%</c:formatCode>
                <c:ptCount val="2"/>
                <c:pt idx="0">
                  <c:v>0.22500000000000001</c:v>
                </c:pt>
                <c:pt idx="1">
                  <c:v>0.77500000000000024</c:v>
                </c:pt>
              </c:numCache>
            </c:numRef>
          </c:val>
        </c:ser>
        <c:dLbls>
          <c:showVal val="1"/>
        </c:dLbls>
        <c:axId val="288024832"/>
        <c:axId val="288313728"/>
      </c:barChart>
      <c:catAx>
        <c:axId val="288024832"/>
        <c:scaling>
          <c:orientation val="minMax"/>
        </c:scaling>
        <c:axPos val="b"/>
        <c:title>
          <c:tx>
            <c:rich>
              <a:bodyPr/>
              <a:lstStyle/>
              <a:p>
                <a:pPr>
                  <a:defRPr sz="799" b="1" i="0" u="none" strike="noStrike" baseline="0">
                    <a:solidFill>
                      <a:srgbClr val="000000"/>
                    </a:solidFill>
                    <a:latin typeface="Arial"/>
                    <a:ea typeface="Arial"/>
                    <a:cs typeface="Arial"/>
                  </a:defRPr>
                </a:pPr>
                <a:r>
                  <a:t>Madre con Cáncer</a:t>
                </a:r>
              </a:p>
            </c:rich>
          </c:tx>
          <c:layout>
            <c:manualLayout>
              <c:xMode val="edge"/>
              <c:yMode val="edge"/>
              <c:x val="0.41880341880341881"/>
              <c:y val="0.85185185185185208"/>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8313728"/>
        <c:crosses val="autoZero"/>
        <c:auto val="1"/>
        <c:lblAlgn val="ctr"/>
        <c:lblOffset val="100"/>
        <c:tickLblSkip val="1"/>
        <c:tickMarkSkip val="1"/>
      </c:catAx>
      <c:valAx>
        <c:axId val="288313728"/>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8.5470085470085496E-3"/>
              <c:y val="0.13425925925925927"/>
            </c:manualLayout>
          </c:layout>
          <c:spPr>
            <a:noFill/>
            <a:ln w="25369">
              <a:noFill/>
            </a:ln>
          </c:spPr>
        </c:title>
        <c:numFmt formatCode="General" sourceLinked="0"/>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88024832"/>
        <c:crosses val="autoZero"/>
        <c:crossBetween val="between"/>
      </c:valAx>
      <c:spPr>
        <a:blipFill dpi="0" rotWithShape="0">
          <a:blip xmlns:r="http://schemas.openxmlformats.org/officeDocument/2006/relationships" r:embed="rId1"/>
          <a:srcRect/>
          <a:tile tx="0" ty="0" sx="100000" sy="100000" flip="none" algn="tl"/>
        </a:blipFill>
        <a:ln w="12684">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764705882352942"/>
          <c:y val="2.7624309392265192E-2"/>
          <c:w val="0.86274509803921595"/>
          <c:h val="0.83149171270718281"/>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100000" b="100000"/>
              </a:path>
            </a:gradFill>
            <a:ln w="12670">
              <a:solidFill>
                <a:srgbClr val="000000"/>
              </a:solidFill>
              <a:prstDash val="solid"/>
            </a:ln>
          </c:spPr>
          <c:dLbls>
            <c:numFmt formatCode="0.0%" sourceLinked="0"/>
            <c:spPr>
              <a:noFill/>
              <a:ln w="25340">
                <a:noFill/>
              </a:ln>
            </c:spPr>
            <c:txPr>
              <a:bodyPr/>
              <a:lstStyle/>
              <a:p>
                <a:pPr>
                  <a:defRPr sz="798" b="1" i="0" u="none" strike="noStrike" baseline="0">
                    <a:solidFill>
                      <a:srgbClr val="000000"/>
                    </a:solidFill>
                    <a:latin typeface="Arial"/>
                    <a:ea typeface="Arial"/>
                    <a:cs typeface="Arial"/>
                  </a:defRPr>
                </a:pPr>
                <a:endParaRPr lang="es-ES"/>
              </a:p>
            </c:txPr>
            <c:showVal val="1"/>
          </c:dLbls>
          <c:cat>
            <c:numRef>
              <c:f>'Hist. Frec. Edad'!$H$2:$H$10</c:f>
              <c:numCache>
                <c:formatCode>General</c:formatCode>
                <c:ptCount val="9"/>
                <c:pt idx="0">
                  <c:v>25</c:v>
                </c:pt>
                <c:pt idx="1">
                  <c:v>33</c:v>
                </c:pt>
                <c:pt idx="2">
                  <c:v>41</c:v>
                </c:pt>
                <c:pt idx="3">
                  <c:v>49</c:v>
                </c:pt>
                <c:pt idx="4">
                  <c:v>57</c:v>
                </c:pt>
                <c:pt idx="5">
                  <c:v>65</c:v>
                </c:pt>
                <c:pt idx="6">
                  <c:v>73</c:v>
                </c:pt>
                <c:pt idx="7">
                  <c:v>81</c:v>
                </c:pt>
                <c:pt idx="8">
                  <c:v>89</c:v>
                </c:pt>
              </c:numCache>
            </c:numRef>
          </c:cat>
          <c:val>
            <c:numRef>
              <c:f>'Hist. Frec. Edad'!$J$2:$J$10</c:f>
              <c:numCache>
                <c:formatCode>0.0%</c:formatCode>
                <c:ptCount val="9"/>
                <c:pt idx="0">
                  <c:v>8.3333333333333367E-3</c:v>
                </c:pt>
                <c:pt idx="1">
                  <c:v>1.6666666666666673E-2</c:v>
                </c:pt>
                <c:pt idx="2">
                  <c:v>8.3333333333333343E-2</c:v>
                </c:pt>
                <c:pt idx="3">
                  <c:v>0.2166666666666667</c:v>
                </c:pt>
                <c:pt idx="4">
                  <c:v>0.23333333333333339</c:v>
                </c:pt>
                <c:pt idx="5">
                  <c:v>0.26666666666666677</c:v>
                </c:pt>
                <c:pt idx="6">
                  <c:v>0.14166666666666666</c:v>
                </c:pt>
                <c:pt idx="7">
                  <c:v>1.6666666666666673E-2</c:v>
                </c:pt>
                <c:pt idx="8">
                  <c:v>1.6666666666666673E-2</c:v>
                </c:pt>
              </c:numCache>
            </c:numRef>
          </c:val>
        </c:ser>
        <c:dLbls>
          <c:showVal val="1"/>
        </c:dLbls>
        <c:axId val="127900672"/>
        <c:axId val="127902848"/>
      </c:barChart>
      <c:catAx>
        <c:axId val="127900672"/>
        <c:scaling>
          <c:orientation val="minMax"/>
        </c:scaling>
        <c:delete val="1"/>
        <c:axPos val="b"/>
        <c:title>
          <c:tx>
            <c:rich>
              <a:bodyPr/>
              <a:lstStyle/>
              <a:p>
                <a:pPr>
                  <a:defRPr sz="1172" b="1" i="0" u="none" strike="noStrike" baseline="0">
                    <a:solidFill>
                      <a:srgbClr val="000000"/>
                    </a:solidFill>
                    <a:latin typeface="Arial"/>
                    <a:ea typeface="Arial"/>
                    <a:cs typeface="Arial"/>
                  </a:defRPr>
                </a:pPr>
                <a:r>
                  <a:t>Grupos de Edades</a:t>
                </a:r>
              </a:p>
            </c:rich>
          </c:tx>
          <c:layout>
            <c:manualLayout>
              <c:xMode val="edge"/>
              <c:yMode val="edge"/>
              <c:x val="0.37254901960784337"/>
              <c:y val="0.91712707182320441"/>
            </c:manualLayout>
          </c:layout>
          <c:spPr>
            <a:noFill/>
            <a:ln w="25340">
              <a:noFill/>
            </a:ln>
          </c:spPr>
        </c:title>
        <c:numFmt formatCode="General" sourceLinked="1"/>
        <c:tickLblPos val="nextTo"/>
        <c:crossAx val="127902848"/>
        <c:crosses val="autoZero"/>
        <c:auto val="1"/>
        <c:lblAlgn val="ctr"/>
        <c:lblOffset val="100"/>
      </c:catAx>
      <c:valAx>
        <c:axId val="127902848"/>
        <c:scaling>
          <c:orientation val="minMax"/>
        </c:scaling>
        <c:axPos val="l"/>
        <c:title>
          <c:tx>
            <c:rich>
              <a:bodyPr/>
              <a:lstStyle/>
              <a:p>
                <a:pPr>
                  <a:defRPr sz="1048" b="1" i="0" u="none" strike="noStrike" baseline="0">
                    <a:solidFill>
                      <a:srgbClr val="000000"/>
                    </a:solidFill>
                    <a:latin typeface="Arial"/>
                    <a:ea typeface="Arial"/>
                    <a:cs typeface="Arial"/>
                  </a:defRPr>
                </a:pPr>
                <a:r>
                  <a:t>Frecuencia Relativa</a:t>
                </a:r>
              </a:p>
            </c:rich>
          </c:tx>
          <c:layout>
            <c:manualLayout>
              <c:xMode val="edge"/>
              <c:yMode val="edge"/>
              <c:x val="2.1568627450980388E-2"/>
              <c:y val="0.27624309392265206"/>
            </c:manualLayout>
          </c:layout>
          <c:spPr>
            <a:noFill/>
            <a:ln w="25340">
              <a:noFill/>
            </a:ln>
          </c:spPr>
        </c:title>
        <c:numFmt formatCode="General" sourceLinked="0"/>
        <c:tickLblPos val="nextTo"/>
        <c:spPr>
          <a:ln w="3168">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s-ES"/>
          </a:p>
        </c:txPr>
        <c:crossAx val="127900672"/>
        <c:crosses val="autoZero"/>
        <c:crossBetween val="between"/>
      </c:valAx>
      <c:spPr>
        <a:blipFill dpi="0" rotWithShape="0">
          <a:blip xmlns:r="http://schemas.openxmlformats.org/officeDocument/2006/relationships" r:embed="rId1"/>
          <a:srcRect/>
          <a:tile tx="0" ty="0" sx="100000" sy="100000" flip="none" algn="tl"/>
        </a:blipFill>
        <a:ln w="12670">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s-ES"/>
    </a:p>
  </c:txPr>
  <c:externalData r:id="rId3"/>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45454545454545"/>
          <c:y val="4.0441176470588223E-2"/>
          <c:w val="0.83181818181818179"/>
          <c:h val="0.72426470588235248"/>
        </c:manualLayout>
      </c:layout>
      <c:barChart>
        <c:barDir val="col"/>
        <c:grouping val="clustered"/>
        <c:ser>
          <c:idx val="0"/>
          <c:order val="0"/>
          <c:spPr>
            <a:gradFill rotWithShape="0">
              <a:gsLst>
                <a:gs pos="0">
                  <a:srgbClr val="FFCC99">
                    <a:gamma/>
                    <a:shade val="46275"/>
                    <a:invGamma/>
                  </a:srgbClr>
                </a:gs>
                <a:gs pos="100000">
                  <a:srgbClr val="FFCC99"/>
                </a:gs>
              </a:gsLst>
              <a:lin ang="2700000" scaled="1"/>
            </a:gradFill>
            <a:ln w="11968">
              <a:solidFill>
                <a:srgbClr val="000000"/>
              </a:solidFill>
              <a:prstDash val="solid"/>
            </a:ln>
          </c:spPr>
          <c:dLbls>
            <c:dLbl>
              <c:idx val="1"/>
              <c:layout>
                <c:manualLayout>
                  <c:xMode val="edge"/>
                  <c:yMode val="edge"/>
                  <c:x val="0.61363636363636354"/>
                  <c:y val="6.6176470588235309E-2"/>
                </c:manualLayout>
              </c:layout>
              <c:dLblPos val="outEnd"/>
              <c:showVal val="1"/>
            </c:dLbl>
            <c:spPr>
              <a:noFill/>
              <a:ln w="23936">
                <a:noFill/>
              </a:ln>
            </c:spPr>
            <c:txPr>
              <a:bodyPr/>
              <a:lstStyle/>
              <a:p>
                <a:pPr>
                  <a:defRPr sz="895" b="1" i="1" u="none" strike="noStrike" baseline="0">
                    <a:solidFill>
                      <a:srgbClr val="000000"/>
                    </a:solidFill>
                    <a:latin typeface="Arial"/>
                    <a:ea typeface="Arial"/>
                    <a:cs typeface="Arial"/>
                  </a:defRPr>
                </a:pPr>
                <a:endParaRPr lang="es-ES"/>
              </a:p>
            </c:txPr>
            <c:showVal val="1"/>
          </c:dLbls>
          <c:cat>
            <c:strRef>
              <c:f>'Hist. Frec. Hermano con Cáncer'!$E$2:$E$3</c:f>
              <c:strCache>
                <c:ptCount val="2"/>
                <c:pt idx="0">
                  <c:v>Si</c:v>
                </c:pt>
                <c:pt idx="1">
                  <c:v>No</c:v>
                </c:pt>
              </c:strCache>
            </c:strRef>
          </c:cat>
          <c:val>
            <c:numRef>
              <c:f>'Hist. Frec. Hermano con Cáncer'!$I$2:$I$3</c:f>
              <c:numCache>
                <c:formatCode>0%</c:formatCode>
                <c:ptCount val="2"/>
                <c:pt idx="0">
                  <c:v>0.15000000000000005</c:v>
                </c:pt>
                <c:pt idx="1">
                  <c:v>0.8500000000000002</c:v>
                </c:pt>
              </c:numCache>
            </c:numRef>
          </c:val>
        </c:ser>
        <c:dLbls>
          <c:showVal val="1"/>
        </c:dLbls>
        <c:axId val="288854016"/>
        <c:axId val="288855936"/>
      </c:barChart>
      <c:catAx>
        <c:axId val="288854016"/>
        <c:scaling>
          <c:orientation val="minMax"/>
        </c:scaling>
        <c:axPos val="b"/>
        <c:title>
          <c:tx>
            <c:rich>
              <a:bodyPr/>
              <a:lstStyle/>
              <a:p>
                <a:pPr>
                  <a:defRPr sz="895" b="1" i="0" u="none" strike="noStrike" baseline="0">
                    <a:solidFill>
                      <a:srgbClr val="000000"/>
                    </a:solidFill>
                    <a:latin typeface="Arial"/>
                    <a:ea typeface="Arial"/>
                    <a:cs typeface="Arial"/>
                  </a:defRPr>
                </a:pPr>
                <a:r>
                  <a:t>Hermano con Cáncer</a:t>
                </a:r>
              </a:p>
            </c:rich>
          </c:tx>
          <c:layout>
            <c:manualLayout>
              <c:xMode val="edge"/>
              <c:yMode val="edge"/>
              <c:x val="0.40454545454545454"/>
              <c:y val="0.87867647058823573"/>
            </c:manualLayout>
          </c:layout>
          <c:spPr>
            <a:noFill/>
            <a:ln w="23936">
              <a:noFill/>
            </a:ln>
          </c:spPr>
        </c:title>
        <c:numFmt formatCode="General" sourceLinked="1"/>
        <c:tickLblPos val="nextTo"/>
        <c:spPr>
          <a:ln w="2992">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es-ES"/>
          </a:p>
        </c:txPr>
        <c:crossAx val="288855936"/>
        <c:crosses val="autoZero"/>
        <c:auto val="1"/>
        <c:lblAlgn val="ctr"/>
        <c:lblOffset val="100"/>
        <c:tickLblSkip val="1"/>
        <c:tickMarkSkip val="1"/>
      </c:catAx>
      <c:valAx>
        <c:axId val="288855936"/>
        <c:scaling>
          <c:orientation val="minMax"/>
        </c:scaling>
        <c:axPos val="l"/>
        <c:title>
          <c:tx>
            <c:rich>
              <a:bodyPr/>
              <a:lstStyle/>
              <a:p>
                <a:pPr>
                  <a:defRPr sz="895" b="1" i="0" u="none" strike="noStrike" baseline="0">
                    <a:solidFill>
                      <a:srgbClr val="000000"/>
                    </a:solidFill>
                    <a:latin typeface="Arial"/>
                    <a:ea typeface="Arial"/>
                    <a:cs typeface="Arial"/>
                  </a:defRPr>
                </a:pPr>
                <a:r>
                  <a:t>Frecuencia Relativa</a:t>
                </a:r>
              </a:p>
            </c:rich>
          </c:tx>
          <c:layout>
            <c:manualLayout>
              <c:xMode val="edge"/>
              <c:yMode val="edge"/>
              <c:x val="0"/>
              <c:y val="0.16544117647058823"/>
            </c:manualLayout>
          </c:layout>
          <c:spPr>
            <a:noFill/>
            <a:ln w="23936">
              <a:noFill/>
            </a:ln>
          </c:spPr>
        </c:title>
        <c:numFmt formatCode="General" sourceLinked="0"/>
        <c:tickLblPos val="nextTo"/>
        <c:spPr>
          <a:ln w="2992">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es-ES"/>
          </a:p>
        </c:txPr>
        <c:crossAx val="288854016"/>
        <c:crosses val="autoZero"/>
        <c:crossBetween val="between"/>
      </c:valAx>
      <c:spPr>
        <a:blipFill dpi="0" rotWithShape="0">
          <a:blip xmlns:r="http://schemas.openxmlformats.org/officeDocument/2006/relationships" r:embed="rId1"/>
          <a:srcRect/>
          <a:tile tx="0" ty="0" sx="100000" sy="100000" flip="none" algn="tl"/>
        </a:blipFill>
        <a:ln w="11968">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92">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s-ES"/>
    </a:p>
  </c:txPr>
  <c:externalData r:id="rId3"/>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45454545454545"/>
          <c:y val="4.0441176470588223E-2"/>
          <c:w val="0.83181818181818179"/>
          <c:h val="0.72426470588235248"/>
        </c:manualLayout>
      </c:layout>
      <c:barChart>
        <c:barDir val="col"/>
        <c:grouping val="clustered"/>
        <c:ser>
          <c:idx val="0"/>
          <c:order val="0"/>
          <c:spPr>
            <a:gradFill rotWithShape="0">
              <a:gsLst>
                <a:gs pos="0">
                  <a:srgbClr val="FFCC99"/>
                </a:gs>
                <a:gs pos="50000">
                  <a:srgbClr val="FFCC99">
                    <a:gamma/>
                    <a:shade val="46275"/>
                    <a:invGamma/>
                  </a:srgbClr>
                </a:gs>
                <a:gs pos="100000">
                  <a:srgbClr val="FFCC99"/>
                </a:gs>
              </a:gsLst>
              <a:lin ang="18900000" scaled="1"/>
            </a:gradFill>
            <a:ln w="11968">
              <a:solidFill>
                <a:srgbClr val="000000"/>
              </a:solidFill>
              <a:prstDash val="solid"/>
            </a:ln>
          </c:spPr>
          <c:dLbls>
            <c:spPr>
              <a:noFill/>
              <a:ln w="23936">
                <a:noFill/>
              </a:ln>
            </c:spPr>
            <c:txPr>
              <a:bodyPr/>
              <a:lstStyle/>
              <a:p>
                <a:pPr>
                  <a:defRPr sz="895" b="1" i="1" u="none" strike="noStrike" baseline="0">
                    <a:solidFill>
                      <a:srgbClr val="000000"/>
                    </a:solidFill>
                    <a:latin typeface="Arial"/>
                    <a:ea typeface="Arial"/>
                    <a:cs typeface="Arial"/>
                  </a:defRPr>
                </a:pPr>
                <a:endParaRPr lang="es-ES"/>
              </a:p>
            </c:txPr>
            <c:showVal val="1"/>
          </c:dLbls>
          <c:cat>
            <c:strRef>
              <c:f>'Hist. Frec. Endoscopia'!$E$2:$E$4</c:f>
              <c:strCache>
                <c:ptCount val="3"/>
                <c:pt idx="0">
                  <c:v>No</c:v>
                </c:pt>
                <c:pt idx="1">
                  <c:v>Alta</c:v>
                </c:pt>
                <c:pt idx="2">
                  <c:v>Baja</c:v>
                </c:pt>
              </c:strCache>
            </c:strRef>
          </c:cat>
          <c:val>
            <c:numRef>
              <c:f>'Hist. Frec. Endoscopia'!$I$2:$I$3</c:f>
              <c:numCache>
                <c:formatCode>0.0%</c:formatCode>
                <c:ptCount val="2"/>
                <c:pt idx="0">
                  <c:v>0.76666666666666672</c:v>
                </c:pt>
                <c:pt idx="1">
                  <c:v>0.23333333333333339</c:v>
                </c:pt>
              </c:numCache>
            </c:numRef>
          </c:val>
        </c:ser>
        <c:dLbls>
          <c:showVal val="1"/>
        </c:dLbls>
        <c:axId val="289162752"/>
        <c:axId val="289164672"/>
      </c:barChart>
      <c:catAx>
        <c:axId val="289162752"/>
        <c:scaling>
          <c:orientation val="minMax"/>
        </c:scaling>
        <c:axPos val="b"/>
        <c:title>
          <c:tx>
            <c:rich>
              <a:bodyPr/>
              <a:lstStyle/>
              <a:p>
                <a:pPr>
                  <a:defRPr sz="895" b="1" i="0" u="none" strike="noStrike" baseline="0">
                    <a:solidFill>
                      <a:srgbClr val="000000"/>
                    </a:solidFill>
                    <a:latin typeface="Arial"/>
                    <a:ea typeface="Arial"/>
                    <a:cs typeface="Arial"/>
                  </a:defRPr>
                </a:pPr>
                <a:r>
                  <a:t>Endoscopia</a:t>
                </a:r>
              </a:p>
            </c:rich>
          </c:tx>
          <c:layout>
            <c:manualLayout>
              <c:xMode val="edge"/>
              <c:yMode val="edge"/>
              <c:x val="0.47500000000000009"/>
              <c:y val="0.87867647058823573"/>
            </c:manualLayout>
          </c:layout>
          <c:spPr>
            <a:noFill/>
            <a:ln w="23936">
              <a:noFill/>
            </a:ln>
          </c:spPr>
        </c:title>
        <c:numFmt formatCode="General" sourceLinked="1"/>
        <c:tickLblPos val="nextTo"/>
        <c:spPr>
          <a:ln w="2992">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es-ES"/>
          </a:p>
        </c:txPr>
        <c:crossAx val="289164672"/>
        <c:crosses val="autoZero"/>
        <c:auto val="1"/>
        <c:lblAlgn val="ctr"/>
        <c:lblOffset val="100"/>
        <c:tickLblSkip val="1"/>
        <c:tickMarkSkip val="1"/>
      </c:catAx>
      <c:valAx>
        <c:axId val="289164672"/>
        <c:scaling>
          <c:orientation val="minMax"/>
        </c:scaling>
        <c:axPos val="l"/>
        <c:title>
          <c:tx>
            <c:rich>
              <a:bodyPr/>
              <a:lstStyle/>
              <a:p>
                <a:pPr>
                  <a:defRPr sz="895" b="1" i="0" u="none" strike="noStrike" baseline="0">
                    <a:solidFill>
                      <a:srgbClr val="000000"/>
                    </a:solidFill>
                    <a:latin typeface="Arial"/>
                    <a:ea typeface="Arial"/>
                    <a:cs typeface="Arial"/>
                  </a:defRPr>
                </a:pPr>
                <a:r>
                  <a:t>Frecuencia Relativa</a:t>
                </a:r>
              </a:p>
            </c:rich>
          </c:tx>
          <c:layout>
            <c:manualLayout>
              <c:xMode val="edge"/>
              <c:yMode val="edge"/>
              <c:x val="0"/>
              <c:y val="0.16911764705882354"/>
            </c:manualLayout>
          </c:layout>
          <c:spPr>
            <a:noFill/>
            <a:ln w="23936">
              <a:noFill/>
            </a:ln>
          </c:spPr>
        </c:title>
        <c:numFmt formatCode="General" sourceLinked="0"/>
        <c:tickLblPos val="nextTo"/>
        <c:spPr>
          <a:ln w="2992">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es-ES"/>
          </a:p>
        </c:txPr>
        <c:crossAx val="289162752"/>
        <c:crosses val="autoZero"/>
        <c:crossBetween val="between"/>
      </c:valAx>
      <c:spPr>
        <a:blipFill dpi="0" rotWithShape="0">
          <a:blip xmlns:r="http://schemas.openxmlformats.org/officeDocument/2006/relationships" r:embed="rId1"/>
          <a:srcRect/>
          <a:tile tx="0" ty="0" sx="100000" sy="100000" flip="none" algn="tl"/>
        </a:blipFill>
        <a:ln w="11968">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92">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s-ES"/>
    </a:p>
  </c:tx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457556935817799"/>
          <c:y val="4.1095890410958895E-2"/>
          <c:w val="0.86335403726708093"/>
          <c:h val="0.74315068493150682"/>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100000" b="100000"/>
              </a:path>
            </a:gradFill>
            <a:ln w="12686">
              <a:solidFill>
                <a:srgbClr val="000000"/>
              </a:solidFill>
              <a:prstDash val="solid"/>
            </a:ln>
          </c:spPr>
          <c:dLbls>
            <c:dLbl>
              <c:idx val="2"/>
              <c:delete val="1"/>
            </c:dLbl>
            <c:spPr>
              <a:noFill/>
              <a:ln w="25373">
                <a:noFill/>
              </a:ln>
            </c:spPr>
            <c:txPr>
              <a:bodyPr/>
              <a:lstStyle/>
              <a:p>
                <a:pPr>
                  <a:defRPr sz="874" b="1" i="1" u="none" strike="noStrike" baseline="0">
                    <a:solidFill>
                      <a:srgbClr val="000000"/>
                    </a:solidFill>
                    <a:latin typeface="Arial"/>
                    <a:ea typeface="Arial"/>
                    <a:cs typeface="Arial"/>
                  </a:defRPr>
                </a:pPr>
                <a:endParaRPr lang="es-ES"/>
              </a:p>
            </c:txPr>
            <c:showVal val="1"/>
          </c:dLbls>
          <c:cat>
            <c:strRef>
              <c:f>'Hist. Frec. Citologia'!$E$2:$E$4</c:f>
              <c:strCache>
                <c:ptCount val="3"/>
                <c:pt idx="0">
                  <c:v>Malignidad Negativa</c:v>
                </c:pt>
                <c:pt idx="1">
                  <c:v>Hongos, Células Escamosas y Bacterias Cocoides</c:v>
                </c:pt>
                <c:pt idx="2">
                  <c:v>Malignidad Positiva</c:v>
                </c:pt>
              </c:strCache>
            </c:strRef>
          </c:cat>
          <c:val>
            <c:numRef>
              <c:f>'Hist. Frec. Citologia'!$I$2:$I$5</c:f>
              <c:numCache>
                <c:formatCode>0.0%</c:formatCode>
                <c:ptCount val="4"/>
                <c:pt idx="0">
                  <c:v>0.8583333333333335</c:v>
                </c:pt>
                <c:pt idx="1">
                  <c:v>0.14166666666666666</c:v>
                </c:pt>
                <c:pt idx="2">
                  <c:v>0</c:v>
                </c:pt>
              </c:numCache>
            </c:numRef>
          </c:val>
        </c:ser>
        <c:dLbls>
          <c:showVal val="1"/>
        </c:dLbls>
        <c:axId val="289229824"/>
        <c:axId val="289232000"/>
      </c:barChart>
      <c:catAx>
        <c:axId val="289229824"/>
        <c:scaling>
          <c:orientation val="minMax"/>
        </c:scaling>
        <c:axPos val="b"/>
        <c:title>
          <c:tx>
            <c:rich>
              <a:bodyPr/>
              <a:lstStyle/>
              <a:p>
                <a:pPr>
                  <a:defRPr sz="1024" b="1" i="0" u="none" strike="noStrike" baseline="0">
                    <a:solidFill>
                      <a:srgbClr val="000000"/>
                    </a:solidFill>
                    <a:latin typeface="Arial"/>
                    <a:ea typeface="Arial"/>
                    <a:cs typeface="Arial"/>
                  </a:defRPr>
                </a:pPr>
                <a:r>
                  <a:t>Citología</a:t>
                </a:r>
              </a:p>
            </c:rich>
          </c:tx>
          <c:layout>
            <c:manualLayout>
              <c:xMode val="edge"/>
              <c:yMode val="edge"/>
              <c:x val="0.49689440993788847"/>
              <c:y val="0.88698630136986278"/>
            </c:manualLayout>
          </c:layout>
          <c:spPr>
            <a:noFill/>
            <a:ln w="25373">
              <a:noFill/>
            </a:ln>
          </c:spPr>
        </c:title>
        <c:numFmt formatCode="General" sourceLinked="1"/>
        <c:tickLblPos val="nextTo"/>
        <c:spPr>
          <a:ln w="3172">
            <a:solidFill>
              <a:srgbClr val="000000"/>
            </a:solidFill>
            <a:prstDash val="solid"/>
          </a:ln>
        </c:spPr>
        <c:txPr>
          <a:bodyPr rot="0" vert="horz"/>
          <a:lstStyle/>
          <a:p>
            <a:pPr>
              <a:defRPr sz="599" b="0" i="0" u="none" strike="noStrike" baseline="0">
                <a:solidFill>
                  <a:srgbClr val="000000"/>
                </a:solidFill>
                <a:latin typeface="Arial"/>
                <a:ea typeface="Arial"/>
                <a:cs typeface="Arial"/>
              </a:defRPr>
            </a:pPr>
            <a:endParaRPr lang="es-ES"/>
          </a:p>
        </c:txPr>
        <c:crossAx val="289232000"/>
        <c:crosses val="autoZero"/>
        <c:auto val="1"/>
        <c:lblAlgn val="ctr"/>
        <c:lblOffset val="100"/>
        <c:tickLblSkip val="1"/>
        <c:tickMarkSkip val="1"/>
      </c:catAx>
      <c:valAx>
        <c:axId val="289232000"/>
        <c:scaling>
          <c:orientation val="minMax"/>
        </c:scaling>
        <c:axPos val="l"/>
        <c:title>
          <c:tx>
            <c:rich>
              <a:bodyPr/>
              <a:lstStyle/>
              <a:p>
                <a:pPr>
                  <a:defRPr sz="1024" b="1" i="0" u="none" strike="noStrike" baseline="0">
                    <a:solidFill>
                      <a:srgbClr val="000000"/>
                    </a:solidFill>
                    <a:latin typeface="Arial"/>
                    <a:ea typeface="Arial"/>
                    <a:cs typeface="Arial"/>
                  </a:defRPr>
                </a:pPr>
                <a:r>
                  <a:t>Frecuencia Relativa</a:t>
                </a:r>
              </a:p>
            </c:rich>
          </c:tx>
          <c:layout>
            <c:manualLayout>
              <c:xMode val="edge"/>
              <c:yMode val="edge"/>
              <c:x val="0"/>
              <c:y val="0.16095890410958905"/>
            </c:manualLayout>
          </c:layout>
          <c:spPr>
            <a:noFill/>
            <a:ln w="25373">
              <a:noFill/>
            </a:ln>
          </c:spPr>
        </c:title>
        <c:numFmt formatCode="General" sourceLinked="0"/>
        <c:tickLblPos val="nextTo"/>
        <c:spPr>
          <a:ln w="3172">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289229824"/>
        <c:crosses val="autoZero"/>
        <c:crossBetween val="between"/>
      </c:valAx>
      <c:spPr>
        <a:blipFill dpi="0" rotWithShape="0">
          <a:blip xmlns:r="http://schemas.openxmlformats.org/officeDocument/2006/relationships" r:embed="rId1"/>
          <a:srcRect/>
          <a:tile tx="0" ty="0" sx="100000" sy="100000" flip="none" algn="tl"/>
        </a:blipFill>
        <a:ln w="12686">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2">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3"/>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137214137214141"/>
          <c:y val="3.4482758620689655E-2"/>
          <c:w val="0.83575883575883603"/>
          <c:h val="0.70402298850574707"/>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t="100000" r="100000"/>
              </a:path>
            </a:gradFill>
            <a:ln w="12093">
              <a:solidFill>
                <a:srgbClr val="000000"/>
              </a:solidFill>
              <a:prstDash val="solid"/>
            </a:ln>
          </c:spPr>
          <c:dLbls>
            <c:dLbl>
              <c:idx val="1"/>
              <c:layout>
                <c:manualLayout>
                  <c:xMode val="edge"/>
                  <c:yMode val="edge"/>
                  <c:x val="0.31600831600831608"/>
                  <c:y val="0.61781609195402298"/>
                </c:manualLayout>
              </c:layout>
              <c:dLblPos val="outEnd"/>
              <c:showVal val="1"/>
            </c:dLbl>
            <c:spPr>
              <a:noFill/>
              <a:ln w="24185">
                <a:noFill/>
              </a:ln>
            </c:spPr>
            <c:txPr>
              <a:bodyPr/>
              <a:lstStyle/>
              <a:p>
                <a:pPr>
                  <a:defRPr sz="1047" b="1" i="1" u="none" strike="noStrike" baseline="0">
                    <a:solidFill>
                      <a:srgbClr val="000000"/>
                    </a:solidFill>
                    <a:latin typeface="Arial"/>
                    <a:ea typeface="Arial"/>
                    <a:cs typeface="Arial"/>
                  </a:defRPr>
                </a:pPr>
                <a:endParaRPr lang="es-ES"/>
              </a:p>
            </c:txPr>
            <c:showVal val="1"/>
          </c:dLbls>
          <c:cat>
            <c:strRef>
              <c:f>'Hist. Frec. Histologia'!$E$2:$E$6</c:f>
              <c:strCache>
                <c:ptCount val="5"/>
                <c:pt idx="0">
                  <c:v>Esofagitis Crónica Inespecífica</c:v>
                </c:pt>
                <c:pt idx="1">
                  <c:v>Esofagitis Crónica Moderada</c:v>
                </c:pt>
                <c:pt idx="2">
                  <c:v>Esofagitis Crónica Acentuada</c:v>
                </c:pt>
                <c:pt idx="3">
                  <c:v>Esofagitis Crónica Severa</c:v>
                </c:pt>
                <c:pt idx="4">
                  <c:v>Esofago de Barret</c:v>
                </c:pt>
              </c:strCache>
            </c:strRef>
          </c:cat>
          <c:val>
            <c:numRef>
              <c:f>'Hist. Frec. Histologia'!$I$2:$I$7</c:f>
              <c:numCache>
                <c:formatCode>0.0%</c:formatCode>
                <c:ptCount val="6"/>
                <c:pt idx="0">
                  <c:v>0.81666666666666654</c:v>
                </c:pt>
                <c:pt idx="1">
                  <c:v>4.1666666666666664E-2</c:v>
                </c:pt>
                <c:pt idx="2">
                  <c:v>2.5000000000000001E-2</c:v>
                </c:pt>
                <c:pt idx="3">
                  <c:v>2.5000000000000001E-2</c:v>
                </c:pt>
                <c:pt idx="4">
                  <c:v>9.166666666666673E-2</c:v>
                </c:pt>
              </c:numCache>
            </c:numRef>
          </c:val>
        </c:ser>
        <c:dLbls>
          <c:showVal val="1"/>
        </c:dLbls>
        <c:axId val="289219328"/>
        <c:axId val="289221248"/>
      </c:barChart>
      <c:catAx>
        <c:axId val="289219328"/>
        <c:scaling>
          <c:orientation val="minMax"/>
        </c:scaling>
        <c:axPos val="b"/>
        <c:title>
          <c:tx>
            <c:rich>
              <a:bodyPr/>
              <a:lstStyle/>
              <a:p>
                <a:pPr>
                  <a:defRPr sz="1047" b="1" i="0" u="none" strike="noStrike" baseline="0">
                    <a:solidFill>
                      <a:srgbClr val="000000"/>
                    </a:solidFill>
                    <a:latin typeface="Arial"/>
                    <a:ea typeface="Arial"/>
                    <a:cs typeface="Arial"/>
                  </a:defRPr>
                </a:pPr>
                <a:r>
                  <a:t>Histología</a:t>
                </a:r>
              </a:p>
            </c:rich>
          </c:tx>
          <c:layout>
            <c:manualLayout>
              <c:xMode val="edge"/>
              <c:yMode val="edge"/>
              <c:x val="0.48024948024948039"/>
              <c:y val="0.89367816091954022"/>
            </c:manualLayout>
          </c:layout>
          <c:spPr>
            <a:noFill/>
            <a:ln w="24185">
              <a:noFill/>
            </a:ln>
          </c:spPr>
        </c:title>
        <c:numFmt formatCode="General" sourceLinked="1"/>
        <c:tickLblPos val="nextTo"/>
        <c:spPr>
          <a:ln w="3023">
            <a:solidFill>
              <a:srgbClr val="000000"/>
            </a:solidFill>
            <a:prstDash val="solid"/>
          </a:ln>
        </c:spPr>
        <c:txPr>
          <a:bodyPr rot="0" vert="horz"/>
          <a:lstStyle/>
          <a:p>
            <a:pPr>
              <a:defRPr sz="762" b="0" i="0" u="none" strike="noStrike" baseline="0">
                <a:solidFill>
                  <a:srgbClr val="000000"/>
                </a:solidFill>
                <a:latin typeface="Arial"/>
                <a:ea typeface="Arial"/>
                <a:cs typeface="Arial"/>
              </a:defRPr>
            </a:pPr>
            <a:endParaRPr lang="es-ES"/>
          </a:p>
        </c:txPr>
        <c:crossAx val="289221248"/>
        <c:crosses val="autoZero"/>
        <c:auto val="1"/>
        <c:lblAlgn val="ctr"/>
        <c:lblOffset val="100"/>
        <c:tickLblSkip val="1"/>
        <c:tickMarkSkip val="1"/>
      </c:catAx>
      <c:valAx>
        <c:axId val="289221248"/>
        <c:scaling>
          <c:orientation val="minMax"/>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0"/>
              <c:y val="0.21264367816091953"/>
            </c:manualLayout>
          </c:layout>
          <c:spPr>
            <a:noFill/>
            <a:ln w="24185">
              <a:noFill/>
            </a:ln>
          </c:spPr>
        </c:title>
        <c:numFmt formatCode="General" sourceLinked="0"/>
        <c:tickLblPos val="nextTo"/>
        <c:spPr>
          <a:ln w="3023">
            <a:solidFill>
              <a:srgbClr val="000000"/>
            </a:solidFill>
            <a:prstDash val="solid"/>
          </a:ln>
        </c:spPr>
        <c:txPr>
          <a:bodyPr rot="0" vert="horz"/>
          <a:lstStyle/>
          <a:p>
            <a:pPr>
              <a:defRPr sz="1047" b="0" i="0" u="none" strike="noStrike" baseline="0">
                <a:solidFill>
                  <a:srgbClr val="000000"/>
                </a:solidFill>
                <a:latin typeface="Arial"/>
                <a:ea typeface="Arial"/>
                <a:cs typeface="Arial"/>
              </a:defRPr>
            </a:pPr>
            <a:endParaRPr lang="es-ES"/>
          </a:p>
        </c:txPr>
        <c:crossAx val="289219328"/>
        <c:crosses val="autoZero"/>
        <c:crossBetween val="between"/>
      </c:valAx>
      <c:spPr>
        <a:blipFill dpi="0" rotWithShape="0">
          <a:blip xmlns:r="http://schemas.openxmlformats.org/officeDocument/2006/relationships" r:embed="rId1"/>
          <a:srcRect/>
          <a:tile tx="0" ty="0" sx="100000" sy="100000" flip="none" algn="tl"/>
        </a:blipFill>
        <a:ln w="1209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023">
      <a:solidFill>
        <a:srgbClr val="000000"/>
      </a:solidFill>
      <a:prstDash val="solid"/>
    </a:ln>
  </c:spPr>
  <c:txPr>
    <a:bodyPr/>
    <a:lstStyle/>
    <a:p>
      <a:pPr>
        <a:defRPr sz="1047" b="0" i="0" u="none" strike="noStrike" baseline="0">
          <a:solidFill>
            <a:srgbClr val="000000"/>
          </a:solidFill>
          <a:latin typeface="Arial"/>
          <a:ea typeface="Arial"/>
          <a:cs typeface="Arial"/>
        </a:defRPr>
      </a:pPr>
      <a:endParaRPr lang="es-ES"/>
    </a:p>
  </c:txPr>
  <c:externalData r:id="rId3"/>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45454545454545"/>
          <c:y val="4.0441176470588223E-2"/>
          <c:w val="0.83181818181818179"/>
          <c:h val="0.72426470588235248"/>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50000" t="50000" r="50000" b="50000"/>
              </a:path>
            </a:gradFill>
            <a:ln w="12684">
              <a:solidFill>
                <a:srgbClr val="000000"/>
              </a:solidFill>
              <a:prstDash val="solid"/>
            </a:ln>
          </c:spPr>
          <c:dLbls>
            <c:dLbl>
              <c:idx val="1"/>
              <c:layout>
                <c:manualLayout>
                  <c:xMode val="edge"/>
                  <c:yMode val="edge"/>
                  <c:x val="0.57727272727272727"/>
                  <c:y val="9.1911764705882401E-2"/>
                </c:manualLayout>
              </c:layout>
              <c:dLblPos val="outEnd"/>
              <c:showVal val="1"/>
            </c:dLbl>
            <c:spPr>
              <a:noFill/>
              <a:ln w="25369">
                <a:noFill/>
              </a:ln>
            </c:spPr>
            <c:txPr>
              <a:bodyPr/>
              <a:lstStyle/>
              <a:p>
                <a:pPr>
                  <a:defRPr sz="949" b="1" i="1" u="none" strike="noStrike" baseline="0">
                    <a:solidFill>
                      <a:srgbClr val="000000"/>
                    </a:solidFill>
                    <a:latin typeface="Arial"/>
                    <a:ea typeface="Arial"/>
                    <a:cs typeface="Arial"/>
                  </a:defRPr>
                </a:pPr>
                <a:endParaRPr lang="es-ES"/>
              </a:p>
            </c:txPr>
            <c:showVal val="1"/>
          </c:dLbls>
          <c:cat>
            <c:strRef>
              <c:f>'Hist. Frec. ADK'!$E$2:$E$3</c:f>
              <c:strCache>
                <c:ptCount val="2"/>
                <c:pt idx="0">
                  <c:v>Si</c:v>
                </c:pt>
                <c:pt idx="1">
                  <c:v>No</c:v>
                </c:pt>
              </c:strCache>
            </c:strRef>
          </c:cat>
          <c:val>
            <c:numRef>
              <c:f>'Hist. Frec. ADK'!$I$2:$I$3</c:f>
              <c:numCache>
                <c:formatCode>0.0%</c:formatCode>
                <c:ptCount val="2"/>
                <c:pt idx="0">
                  <c:v>0.25833333333333325</c:v>
                </c:pt>
                <c:pt idx="1">
                  <c:v>0.7416666666666667</c:v>
                </c:pt>
              </c:numCache>
            </c:numRef>
          </c:val>
        </c:ser>
        <c:dLbls>
          <c:showVal val="1"/>
        </c:dLbls>
        <c:axId val="289814784"/>
        <c:axId val="289821056"/>
      </c:barChart>
      <c:catAx>
        <c:axId val="289814784"/>
        <c:scaling>
          <c:orientation val="minMax"/>
        </c:scaling>
        <c:axPos val="b"/>
        <c:title>
          <c:tx>
            <c:rich>
              <a:bodyPr/>
              <a:lstStyle/>
              <a:p>
                <a:pPr>
                  <a:defRPr sz="949" b="1" i="0" u="none" strike="noStrike" baseline="0">
                    <a:solidFill>
                      <a:srgbClr val="000000"/>
                    </a:solidFill>
                    <a:latin typeface="Arial"/>
                    <a:ea typeface="Arial"/>
                    <a:cs typeface="Arial"/>
                  </a:defRPr>
                </a:pPr>
                <a:r>
                  <a:t>ADK</a:t>
                </a:r>
              </a:p>
            </c:rich>
          </c:tx>
          <c:layout>
            <c:manualLayout>
              <c:xMode val="edge"/>
              <c:yMode val="edge"/>
              <c:x val="0.527272727272727"/>
              <c:y val="0.87867647058823573"/>
            </c:manualLayout>
          </c:layout>
          <c:spPr>
            <a:noFill/>
            <a:ln w="25369">
              <a:noFill/>
            </a:ln>
          </c:spPr>
        </c:title>
        <c:numFmt formatCode="General" sourceLinked="1"/>
        <c:tickLblPos val="nextTo"/>
        <c:spPr>
          <a:ln w="317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89821056"/>
        <c:crosses val="autoZero"/>
        <c:auto val="1"/>
        <c:lblAlgn val="ctr"/>
        <c:lblOffset val="100"/>
        <c:tickLblSkip val="1"/>
        <c:tickMarkSkip val="1"/>
      </c:catAx>
      <c:valAx>
        <c:axId val="289821056"/>
        <c:scaling>
          <c:orientation val="minMax"/>
        </c:scaling>
        <c:axPos val="l"/>
        <c:title>
          <c:tx>
            <c:rich>
              <a:bodyPr/>
              <a:lstStyle/>
              <a:p>
                <a:pPr>
                  <a:defRPr sz="949" b="1" i="0" u="none" strike="noStrike" baseline="0">
                    <a:solidFill>
                      <a:srgbClr val="000000"/>
                    </a:solidFill>
                    <a:latin typeface="Arial"/>
                    <a:ea typeface="Arial"/>
                    <a:cs typeface="Arial"/>
                  </a:defRPr>
                </a:pPr>
                <a:r>
                  <a:t>Frecuencia Relativa</a:t>
                </a:r>
              </a:p>
            </c:rich>
          </c:tx>
          <c:layout>
            <c:manualLayout>
              <c:xMode val="edge"/>
              <c:yMode val="edge"/>
              <c:x val="0"/>
              <c:y val="0.16176470588235303"/>
            </c:manualLayout>
          </c:layout>
          <c:spPr>
            <a:noFill/>
            <a:ln w="25369">
              <a:noFill/>
            </a:ln>
          </c:spPr>
        </c:title>
        <c:numFmt formatCode="General" sourceLinked="0"/>
        <c:tickLblPos val="nextTo"/>
        <c:spPr>
          <a:ln w="317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89814784"/>
        <c:crosses val="autoZero"/>
        <c:crossBetween val="between"/>
      </c:valAx>
      <c:spPr>
        <a:blipFill dpi="0" rotWithShape="0">
          <a:blip xmlns:r="http://schemas.openxmlformats.org/officeDocument/2006/relationships" r:embed="rId1"/>
          <a:srcRect/>
          <a:tile tx="0" ty="0" sx="100000" sy="100000" flip="none" algn="tl"/>
        </a:blipFill>
        <a:ln w="12684">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1">
      <a:solidFill>
        <a:srgbClr val="000000"/>
      </a:solidFill>
      <a:prstDash val="solid"/>
    </a:ln>
  </c:spPr>
  <c:txPr>
    <a:bodyPr/>
    <a:lstStyle/>
    <a:p>
      <a:pPr>
        <a:defRPr sz="949" b="0" i="0" u="none" strike="noStrike" baseline="0">
          <a:solidFill>
            <a:srgbClr val="000000"/>
          </a:solidFill>
          <a:latin typeface="Arial"/>
          <a:ea typeface="Arial"/>
          <a:cs typeface="Arial"/>
        </a:defRPr>
      </a:pPr>
      <a:endParaRPr lang="es-ES"/>
    </a:p>
  </c:tx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96803652968044"/>
          <c:y val="6.179775280898879E-2"/>
          <c:w val="0.82420091324200939"/>
          <c:h val="0.70224719101123578"/>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r="100000" b="100000"/>
              </a:path>
            </a:gradFill>
            <a:ln w="12690">
              <a:solidFill>
                <a:srgbClr val="000000"/>
              </a:solidFill>
              <a:prstDash val="solid"/>
            </a:ln>
          </c:spPr>
          <c:dLbls>
            <c:spPr>
              <a:noFill/>
              <a:ln w="25380">
                <a:noFill/>
              </a:ln>
            </c:spPr>
            <c:txPr>
              <a:bodyPr/>
              <a:lstStyle/>
              <a:p>
                <a:pPr>
                  <a:defRPr sz="1024" b="1" i="0" u="none" strike="noStrike" baseline="0">
                    <a:solidFill>
                      <a:srgbClr val="000000"/>
                    </a:solidFill>
                    <a:latin typeface="Arial"/>
                    <a:ea typeface="Arial"/>
                    <a:cs typeface="Arial"/>
                  </a:defRPr>
                </a:pPr>
                <a:endParaRPr lang="es-ES"/>
              </a:p>
            </c:txPr>
            <c:showVal val="1"/>
          </c:dLbls>
          <c:cat>
            <c:strRef>
              <c:f>'Hist. Frec. Fumar'!$F$2:$F$6</c:f>
              <c:strCache>
                <c:ptCount val="5"/>
                <c:pt idx="0">
                  <c:v>No </c:v>
                </c:pt>
                <c:pt idx="1">
                  <c:v>Baja Frec.</c:v>
                </c:pt>
                <c:pt idx="2">
                  <c:v>Media Frec.</c:v>
                </c:pt>
                <c:pt idx="3">
                  <c:v>Alta Frec.</c:v>
                </c:pt>
                <c:pt idx="4">
                  <c:v>Gran Frec.</c:v>
                </c:pt>
              </c:strCache>
            </c:strRef>
          </c:cat>
          <c:val>
            <c:numRef>
              <c:f>'Hist. Frec. Fumar'!$J$2:$J$6</c:f>
              <c:numCache>
                <c:formatCode>0%</c:formatCode>
                <c:ptCount val="5"/>
                <c:pt idx="0">
                  <c:v>0.52500000000000002</c:v>
                </c:pt>
                <c:pt idx="1">
                  <c:v>0.125</c:v>
                </c:pt>
                <c:pt idx="2">
                  <c:v>0.25</c:v>
                </c:pt>
                <c:pt idx="3">
                  <c:v>0</c:v>
                </c:pt>
                <c:pt idx="4">
                  <c:v>0.1</c:v>
                </c:pt>
              </c:numCache>
            </c:numRef>
          </c:val>
        </c:ser>
        <c:dLbls>
          <c:showVal val="1"/>
        </c:dLbls>
        <c:axId val="143074048"/>
        <c:axId val="143075968"/>
      </c:barChart>
      <c:catAx>
        <c:axId val="143074048"/>
        <c:scaling>
          <c:orientation val="minMax"/>
        </c:scaling>
        <c:axPos val="b"/>
        <c:title>
          <c:tx>
            <c:rich>
              <a:bodyPr/>
              <a:lstStyle/>
              <a:p>
                <a:pPr>
                  <a:defRPr sz="1024" b="1" i="0" u="none" strike="noStrike" baseline="0">
                    <a:solidFill>
                      <a:srgbClr val="000000"/>
                    </a:solidFill>
                    <a:latin typeface="Arial"/>
                    <a:ea typeface="Arial"/>
                    <a:cs typeface="Arial"/>
                  </a:defRPr>
                </a:pPr>
                <a:r>
                  <a:t>Tabaco</a:t>
                </a:r>
              </a:p>
            </c:rich>
          </c:tx>
          <c:layout>
            <c:manualLayout>
              <c:xMode val="edge"/>
              <c:yMode val="edge"/>
              <c:x val="0.47945205479452052"/>
              <c:y val="0.93258426966292107"/>
            </c:manualLayout>
          </c:layout>
          <c:spPr>
            <a:noFill/>
            <a:ln w="25380">
              <a:noFill/>
            </a:ln>
          </c:spPr>
        </c:title>
        <c:numFmt formatCode="General" sourceLinked="1"/>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143075968"/>
        <c:crosses val="autoZero"/>
        <c:auto val="1"/>
        <c:lblAlgn val="ctr"/>
        <c:lblOffset val="100"/>
        <c:tickLblSkip val="1"/>
        <c:tickMarkSkip val="1"/>
      </c:catAx>
      <c:valAx>
        <c:axId val="143075968"/>
        <c:scaling>
          <c:orientation val="minMax"/>
        </c:scaling>
        <c:axPos val="l"/>
        <c:title>
          <c:tx>
            <c:rich>
              <a:bodyPr/>
              <a:lstStyle/>
              <a:p>
                <a:pPr>
                  <a:defRPr sz="1024" b="1" i="0" u="none" strike="noStrike" baseline="0">
                    <a:solidFill>
                      <a:srgbClr val="000000"/>
                    </a:solidFill>
                    <a:latin typeface="Arial"/>
                    <a:ea typeface="Arial"/>
                    <a:cs typeface="Arial"/>
                  </a:defRPr>
                </a:pPr>
                <a:r>
                  <a:t>Frecuencia Relativa</a:t>
                </a:r>
              </a:p>
            </c:rich>
          </c:tx>
          <c:layout>
            <c:manualLayout>
              <c:xMode val="edge"/>
              <c:yMode val="edge"/>
              <c:x val="0"/>
              <c:y val="0.20786516853932593"/>
            </c:manualLayout>
          </c:layout>
          <c:spPr>
            <a:noFill/>
            <a:ln w="25380">
              <a:noFill/>
            </a:ln>
          </c:spPr>
        </c:title>
        <c:numFmt formatCode="General" sourceLinked="0"/>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143074048"/>
        <c:crosses val="autoZero"/>
        <c:crossBetween val="between"/>
      </c:valAx>
      <c:spPr>
        <a:blipFill dpi="0" rotWithShape="0">
          <a:blip xmlns:r="http://schemas.openxmlformats.org/officeDocument/2006/relationships" r:embed="rId1"/>
          <a:srcRect/>
          <a:tile tx="0" ty="0" sx="100000" sy="100000" flip="none" algn="tl"/>
        </a:blipFill>
        <a:ln w="12690">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3">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080402010050246"/>
          <c:y val="3.8596491228070177E-2"/>
          <c:w val="0.81407035175879394"/>
          <c:h val="0.67719298245614068"/>
        </c:manualLayout>
      </c:layout>
      <c:barChart>
        <c:barDir val="col"/>
        <c:grouping val="clustered"/>
        <c:ser>
          <c:idx val="0"/>
          <c:order val="0"/>
          <c:spPr>
            <a:gradFill rotWithShape="0">
              <a:gsLst>
                <a:gs pos="0">
                  <a:srgbClr val="FFCC99"/>
                </a:gs>
                <a:gs pos="100000">
                  <a:srgbClr val="FFCC99">
                    <a:gamma/>
                    <a:shade val="46275"/>
                    <a:invGamma/>
                  </a:srgbClr>
                </a:gs>
              </a:gsLst>
              <a:path path="rect">
                <a:fillToRect l="50000" t="50000" r="50000" b="50000"/>
              </a:path>
            </a:gradFill>
            <a:ln w="12671">
              <a:solidFill>
                <a:srgbClr val="000000"/>
              </a:solidFill>
              <a:prstDash val="solid"/>
            </a:ln>
          </c:spPr>
          <c:dLbls>
            <c:dLbl>
              <c:idx val="0"/>
              <c:layout>
                <c:manualLayout>
                  <c:xMode val="edge"/>
                  <c:yMode val="edge"/>
                  <c:x val="0.22361809045226141"/>
                  <c:y val="3.5087719298245612E-2"/>
                </c:manualLayout>
              </c:layout>
              <c:dLblPos val="outEnd"/>
              <c:showVal val="1"/>
            </c:dLbl>
            <c:spPr>
              <a:noFill/>
              <a:ln w="25341">
                <a:noFill/>
              </a:ln>
            </c:spPr>
            <c:txPr>
              <a:bodyPr/>
              <a:lstStyle/>
              <a:p>
                <a:pPr>
                  <a:defRPr sz="948" b="1" i="0" u="none" strike="noStrike" baseline="0">
                    <a:solidFill>
                      <a:srgbClr val="000000"/>
                    </a:solidFill>
                    <a:latin typeface="Arial"/>
                    <a:ea typeface="Arial"/>
                    <a:cs typeface="Arial"/>
                  </a:defRPr>
                </a:pPr>
                <a:endParaRPr lang="es-ES"/>
              </a:p>
            </c:txPr>
            <c:showVal val="1"/>
          </c:dLbls>
          <c:cat>
            <c:strRef>
              <c:f>'Hist. Frec. Alcohol'!$E$2:$E$5</c:f>
              <c:strCache>
                <c:ptCount val="4"/>
                <c:pt idx="0">
                  <c:v>No</c:v>
                </c:pt>
                <c:pt idx="1">
                  <c:v>Consumo Leve</c:v>
                </c:pt>
                <c:pt idx="2">
                  <c:v>Consumo Moerado</c:v>
                </c:pt>
                <c:pt idx="3">
                  <c:v>Consumo Grave</c:v>
                </c:pt>
              </c:strCache>
            </c:strRef>
          </c:cat>
          <c:val>
            <c:numRef>
              <c:f>'Hist. Frec. Alcohol'!$I$2:$I$5</c:f>
              <c:numCache>
                <c:formatCode>0%</c:formatCode>
                <c:ptCount val="4"/>
                <c:pt idx="0">
                  <c:v>0.53333333333333333</c:v>
                </c:pt>
                <c:pt idx="1">
                  <c:v>0.25</c:v>
                </c:pt>
                <c:pt idx="2">
                  <c:v>4.1666666666666664E-2</c:v>
                </c:pt>
                <c:pt idx="3">
                  <c:v>0.17500000000000004</c:v>
                </c:pt>
              </c:numCache>
            </c:numRef>
          </c:val>
        </c:ser>
        <c:dLbls>
          <c:showVal val="1"/>
        </c:dLbls>
        <c:axId val="143100160"/>
        <c:axId val="266879360"/>
      </c:barChart>
      <c:catAx>
        <c:axId val="143100160"/>
        <c:scaling>
          <c:orientation val="minMax"/>
        </c:scaling>
        <c:axPos val="b"/>
        <c:title>
          <c:tx>
            <c:rich>
              <a:bodyPr/>
              <a:lstStyle/>
              <a:p>
                <a:pPr>
                  <a:defRPr sz="948" b="1" i="0" u="none" strike="noStrike" baseline="0">
                    <a:solidFill>
                      <a:srgbClr val="000000"/>
                    </a:solidFill>
                    <a:latin typeface="Arial"/>
                    <a:ea typeface="Arial"/>
                    <a:cs typeface="Arial"/>
                  </a:defRPr>
                </a:pPr>
                <a:r>
                  <a:t>ALCOHOL</a:t>
                </a:r>
              </a:p>
            </c:rich>
          </c:tx>
          <c:layout>
            <c:manualLayout>
              <c:xMode val="edge"/>
              <c:yMode val="edge"/>
              <c:x val="0.48492462311557805"/>
              <c:y val="0.88421052631578945"/>
            </c:manualLayout>
          </c:layout>
          <c:spPr>
            <a:noFill/>
            <a:ln w="25341">
              <a:noFill/>
            </a:ln>
          </c:spPr>
        </c:title>
        <c:numFmt formatCode="General" sourceLinked="1"/>
        <c:tickLblPos val="nextTo"/>
        <c:spPr>
          <a:ln w="3168">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266879360"/>
        <c:crosses val="autoZero"/>
        <c:auto val="1"/>
        <c:lblAlgn val="ctr"/>
        <c:lblOffset val="100"/>
        <c:tickLblSkip val="1"/>
        <c:tickMarkSkip val="1"/>
      </c:catAx>
      <c:valAx>
        <c:axId val="266879360"/>
        <c:scaling>
          <c:orientation val="minMax"/>
        </c:scaling>
        <c:axPos val="l"/>
        <c:title>
          <c:tx>
            <c:rich>
              <a:bodyPr/>
              <a:lstStyle/>
              <a:p>
                <a:pPr>
                  <a:defRPr sz="948" b="1" i="0" u="none" strike="noStrike" baseline="0">
                    <a:solidFill>
                      <a:srgbClr val="000000"/>
                    </a:solidFill>
                    <a:latin typeface="Arial"/>
                    <a:ea typeface="Arial"/>
                    <a:cs typeface="Arial"/>
                  </a:defRPr>
                </a:pPr>
                <a:r>
                  <a:t>FRECUENCIA RELATIVA</a:t>
                </a:r>
              </a:p>
            </c:rich>
          </c:tx>
          <c:layout>
            <c:manualLayout>
              <c:xMode val="edge"/>
              <c:yMode val="edge"/>
              <c:x val="2.7638190954773888E-2"/>
              <c:y val="0.10526315789473686"/>
            </c:manualLayout>
          </c:layout>
          <c:spPr>
            <a:noFill/>
            <a:ln w="25341">
              <a:noFill/>
            </a:ln>
          </c:spPr>
        </c:title>
        <c:numFmt formatCode="General" sourceLinked="0"/>
        <c:tickLblPos val="nextTo"/>
        <c:spPr>
          <a:ln w="3168">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143100160"/>
        <c:crosses val="autoZero"/>
        <c:crossBetween val="between"/>
      </c:valAx>
      <c:spPr>
        <a:blipFill dpi="0" rotWithShape="0">
          <a:blip xmlns:r="http://schemas.openxmlformats.org/officeDocument/2006/relationships" r:embed="rId1"/>
          <a:srcRect/>
          <a:tile tx="0" ty="0" sx="100000" sy="100000" flip="none" algn="tl"/>
        </a:blipFill>
        <a:ln w="12671">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68">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315315315315314"/>
          <c:y val="4.0441176470588223E-2"/>
          <c:w val="0.82432432432432434"/>
          <c:h val="0.70220588235294112"/>
        </c:manualLayout>
      </c:layout>
      <c:barChart>
        <c:barDir val="col"/>
        <c:grouping val="clustered"/>
        <c:ser>
          <c:idx val="0"/>
          <c:order val="0"/>
          <c:spPr>
            <a:gradFill rotWithShape="0">
              <a:gsLst>
                <a:gs pos="0">
                  <a:srgbClr val="FFCC99">
                    <a:gamma/>
                    <a:shade val="46275"/>
                    <a:invGamma/>
                  </a:srgbClr>
                </a:gs>
                <a:gs pos="100000">
                  <a:srgbClr val="FFCC99"/>
                </a:gs>
              </a:gsLst>
              <a:lin ang="18900000" scaled="1"/>
            </a:gradFill>
            <a:ln w="12679">
              <a:solidFill>
                <a:srgbClr val="000000"/>
              </a:solidFill>
              <a:prstDash val="solid"/>
            </a:ln>
          </c:spPr>
          <c:dLbls>
            <c:dLbl>
              <c:idx val="0"/>
              <c:layout>
                <c:manualLayout>
                  <c:xMode val="edge"/>
                  <c:yMode val="edge"/>
                  <c:x val="0.22072072072072069"/>
                  <c:y val="3.6764705882352942E-2"/>
                </c:manualLayout>
              </c:layout>
              <c:dLblPos val="outEnd"/>
              <c:showVal val="1"/>
            </c:dLbl>
            <c:spPr>
              <a:noFill/>
              <a:ln w="25358">
                <a:noFill/>
              </a:ln>
            </c:spPr>
            <c:txPr>
              <a:bodyPr/>
              <a:lstStyle/>
              <a:p>
                <a:pPr>
                  <a:defRPr sz="849" b="1" i="1" u="none" strike="noStrike" baseline="0">
                    <a:solidFill>
                      <a:srgbClr val="000000"/>
                    </a:solidFill>
                    <a:latin typeface="Arial"/>
                    <a:ea typeface="Arial"/>
                    <a:cs typeface="Arial"/>
                  </a:defRPr>
                </a:pPr>
                <a:endParaRPr lang="es-ES"/>
              </a:p>
            </c:txPr>
            <c:showVal val="1"/>
          </c:dLbls>
          <c:cat>
            <c:strRef>
              <c:f>'Hist. Frec. Dieta Dirigida'!$E$2:$E$5</c:f>
              <c:strCache>
                <c:ptCount val="4"/>
                <c:pt idx="0">
                  <c:v>No </c:v>
                </c:pt>
                <c:pt idx="1">
                  <c:v> A Veces</c:v>
                </c:pt>
                <c:pt idx="2">
                  <c:v>Casi Siempre</c:v>
                </c:pt>
                <c:pt idx="3">
                  <c:v>Siempre</c:v>
                </c:pt>
              </c:strCache>
            </c:strRef>
          </c:cat>
          <c:val>
            <c:numRef>
              <c:f>'Hist. Frec. Dieta Dirigida'!$I$2:$I$5</c:f>
              <c:numCache>
                <c:formatCode>0.0%</c:formatCode>
                <c:ptCount val="4"/>
                <c:pt idx="0">
                  <c:v>0.83333333333333359</c:v>
                </c:pt>
                <c:pt idx="1">
                  <c:v>9.166666666666673E-2</c:v>
                </c:pt>
                <c:pt idx="2">
                  <c:v>8.3333333333333367E-3</c:v>
                </c:pt>
                <c:pt idx="3">
                  <c:v>6.666666666666668E-2</c:v>
                </c:pt>
              </c:numCache>
            </c:numRef>
          </c:val>
        </c:ser>
        <c:dLbls>
          <c:showVal val="1"/>
        </c:dLbls>
        <c:axId val="267223040"/>
        <c:axId val="267224960"/>
      </c:barChart>
      <c:catAx>
        <c:axId val="267223040"/>
        <c:scaling>
          <c:orientation val="minMax"/>
        </c:scaling>
        <c:axPos val="b"/>
        <c:title>
          <c:tx>
            <c:rich>
              <a:bodyPr/>
              <a:lstStyle/>
              <a:p>
                <a:pPr>
                  <a:defRPr sz="1198" b="1" i="0" u="none" strike="noStrike" baseline="0">
                    <a:solidFill>
                      <a:srgbClr val="000000"/>
                    </a:solidFill>
                    <a:latin typeface="Arial"/>
                    <a:ea typeface="Arial"/>
                    <a:cs typeface="Arial"/>
                  </a:defRPr>
                </a:pPr>
                <a:r>
                  <a:t>Dieta Dirigida</a:t>
                </a:r>
              </a:p>
            </c:rich>
          </c:tx>
          <c:layout>
            <c:manualLayout>
              <c:xMode val="edge"/>
              <c:yMode val="edge"/>
              <c:x val="0.41441441441441451"/>
              <c:y val="0.84191176470588258"/>
            </c:manualLayout>
          </c:layout>
          <c:spPr>
            <a:noFill/>
            <a:ln w="25358">
              <a:noFill/>
            </a:ln>
          </c:spPr>
        </c:title>
        <c:numFmt formatCode="General" sourceLinked="1"/>
        <c:tickLblPos val="nextTo"/>
        <c:spPr>
          <a:ln w="317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267224960"/>
        <c:crosses val="autoZero"/>
        <c:auto val="1"/>
        <c:lblAlgn val="ctr"/>
        <c:lblOffset val="100"/>
        <c:tickLblSkip val="1"/>
        <c:tickMarkSkip val="1"/>
      </c:catAx>
      <c:valAx>
        <c:axId val="267224960"/>
        <c:scaling>
          <c:orientation val="minMax"/>
        </c:scaling>
        <c:axPos val="l"/>
        <c:title>
          <c:tx>
            <c:rich>
              <a:bodyPr/>
              <a:lstStyle/>
              <a:p>
                <a:pPr>
                  <a:defRPr sz="1198" b="1" i="0" u="none" strike="noStrike" baseline="0">
                    <a:solidFill>
                      <a:srgbClr val="000000"/>
                    </a:solidFill>
                    <a:latin typeface="Arial"/>
                    <a:ea typeface="Arial"/>
                    <a:cs typeface="Arial"/>
                  </a:defRPr>
                </a:pPr>
                <a:r>
                  <a:t>Frecuencia Relativa</a:t>
                </a:r>
              </a:p>
            </c:rich>
          </c:tx>
          <c:layout>
            <c:manualLayout>
              <c:xMode val="edge"/>
              <c:yMode val="edge"/>
              <c:x val="0"/>
              <c:y val="0.11029411764705882"/>
            </c:manualLayout>
          </c:layout>
          <c:spPr>
            <a:noFill/>
            <a:ln w="25358">
              <a:noFill/>
            </a:ln>
          </c:spPr>
        </c:title>
        <c:numFmt formatCode="General" sourceLinked="0"/>
        <c:tickLblPos val="nextTo"/>
        <c:spPr>
          <a:ln w="3170">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267223040"/>
        <c:crosses val="autoZero"/>
        <c:crossBetween val="between"/>
      </c:valAx>
      <c:spPr>
        <a:blipFill dpi="0" rotWithShape="0">
          <a:blip xmlns:r="http://schemas.openxmlformats.org/officeDocument/2006/relationships" r:embed="rId1"/>
          <a:srcRect/>
          <a:tile tx="0" ty="0" sx="100000" sy="100000" flip="none" algn="tl"/>
        </a:blipFill>
        <a:ln w="12679">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0">
      <a:solidFill>
        <a:srgbClr val="000000"/>
      </a:solidFill>
      <a:prstDash val="solid"/>
    </a:ln>
  </c:spPr>
  <c:txPr>
    <a:bodyPr/>
    <a:lstStyle/>
    <a:p>
      <a:pPr>
        <a:defRPr sz="1198" b="0" i="0" u="none" strike="noStrike" baseline="0">
          <a:solidFill>
            <a:srgbClr val="000000"/>
          </a:solidFill>
          <a:latin typeface="Arial"/>
          <a:ea typeface="Arial"/>
          <a:cs typeface="Arial"/>
        </a:defRPr>
      </a:pPr>
      <a:endParaRPr lang="es-ES"/>
    </a:p>
  </c:txPr>
  <c:externalData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58215962441321"/>
          <c:y val="3.8596491228070177E-2"/>
          <c:w val="0.82629107981220651"/>
          <c:h val="0.73684210526315785"/>
        </c:manualLayout>
      </c:layout>
      <c:barChart>
        <c:barDir val="col"/>
        <c:grouping val="clustered"/>
        <c:ser>
          <c:idx val="0"/>
          <c:order val="0"/>
          <c:spPr>
            <a:gradFill rotWithShape="0">
              <a:gsLst>
                <a:gs pos="0">
                  <a:srgbClr val="FFCC99"/>
                </a:gs>
                <a:gs pos="100000">
                  <a:srgbClr val="FFCC99">
                    <a:gamma/>
                    <a:shade val="46275"/>
                    <a:invGamma/>
                  </a:srgbClr>
                </a:gs>
              </a:gsLst>
              <a:lin ang="2700000" scaled="1"/>
            </a:gradFill>
            <a:ln w="12671">
              <a:solidFill>
                <a:srgbClr val="000000"/>
              </a:solidFill>
              <a:prstDash val="solid"/>
            </a:ln>
          </c:spPr>
          <c:dLbls>
            <c:spPr>
              <a:noFill/>
              <a:ln w="25341">
                <a:noFill/>
              </a:ln>
            </c:spPr>
            <c:txPr>
              <a:bodyPr/>
              <a:lstStyle/>
              <a:p>
                <a:pPr>
                  <a:defRPr sz="998" b="1" i="1" u="none" strike="noStrike" baseline="0">
                    <a:solidFill>
                      <a:srgbClr val="000000"/>
                    </a:solidFill>
                    <a:latin typeface="Arial"/>
                    <a:ea typeface="Arial"/>
                    <a:cs typeface="Arial"/>
                  </a:defRPr>
                </a:pPr>
                <a:endParaRPr lang="es-ES"/>
              </a:p>
            </c:txPr>
            <c:showVal val="1"/>
          </c:dLbls>
          <c:cat>
            <c:strRef>
              <c:f>'Hist. Frec. Estupefacientes'!$E$2:$E$5</c:f>
              <c:strCache>
                <c:ptCount val="4"/>
                <c:pt idx="0">
                  <c:v>No </c:v>
                </c:pt>
                <c:pt idx="1">
                  <c:v> A Veces</c:v>
                </c:pt>
                <c:pt idx="2">
                  <c:v>Casi Siempre</c:v>
                </c:pt>
                <c:pt idx="3">
                  <c:v>Siempre</c:v>
                </c:pt>
              </c:strCache>
            </c:strRef>
          </c:cat>
          <c:val>
            <c:numRef>
              <c:f>'Hist. Frec. Estupefacientes'!$I$2:$I$5</c:f>
              <c:numCache>
                <c:formatCode>0.0%</c:formatCode>
                <c:ptCount val="4"/>
                <c:pt idx="0">
                  <c:v>0.99166666666666659</c:v>
                </c:pt>
                <c:pt idx="1">
                  <c:v>0</c:v>
                </c:pt>
                <c:pt idx="2">
                  <c:v>8.3333333333333367E-3</c:v>
                </c:pt>
                <c:pt idx="3">
                  <c:v>0</c:v>
                </c:pt>
              </c:numCache>
            </c:numRef>
          </c:val>
        </c:ser>
        <c:dLbls>
          <c:showVal val="1"/>
        </c:dLbls>
        <c:axId val="267462144"/>
        <c:axId val="267464064"/>
      </c:barChart>
      <c:catAx>
        <c:axId val="267462144"/>
        <c:scaling>
          <c:orientation val="minMax"/>
        </c:scaling>
        <c:axPos val="b"/>
        <c:title>
          <c:tx>
            <c:rich>
              <a:bodyPr/>
              <a:lstStyle/>
              <a:p>
                <a:pPr>
                  <a:defRPr sz="998" b="1" i="0" u="none" strike="noStrike" baseline="0">
                    <a:solidFill>
                      <a:srgbClr val="000000"/>
                    </a:solidFill>
                    <a:latin typeface="Arial"/>
                    <a:ea typeface="Arial"/>
                    <a:cs typeface="Arial"/>
                  </a:defRPr>
                </a:pPr>
                <a:r>
                  <a:t>Estupefacientes</a:t>
                </a:r>
              </a:p>
            </c:rich>
          </c:tx>
          <c:layout>
            <c:manualLayout>
              <c:xMode val="edge"/>
              <c:yMode val="edge"/>
              <c:x val="0.4389671361502348"/>
              <c:y val="0.91929824561403528"/>
            </c:manualLayout>
          </c:layout>
          <c:spPr>
            <a:noFill/>
            <a:ln w="25341">
              <a:noFill/>
            </a:ln>
          </c:spPr>
        </c:title>
        <c:numFmt formatCode="General" sourceLinked="1"/>
        <c:tickLblPos val="nextTo"/>
        <c:spPr>
          <a:ln w="3168">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ES"/>
          </a:p>
        </c:txPr>
        <c:crossAx val="267464064"/>
        <c:crosses val="autoZero"/>
        <c:auto val="1"/>
        <c:lblAlgn val="ctr"/>
        <c:lblOffset val="100"/>
        <c:tickLblSkip val="1"/>
        <c:tickMarkSkip val="1"/>
      </c:catAx>
      <c:valAx>
        <c:axId val="267464064"/>
        <c:scaling>
          <c:orientation val="minMax"/>
        </c:scaling>
        <c:axPos val="l"/>
        <c:title>
          <c:tx>
            <c:rich>
              <a:bodyPr/>
              <a:lstStyle/>
              <a:p>
                <a:pPr>
                  <a:defRPr sz="998" b="1" i="0" u="none" strike="noStrike" baseline="0">
                    <a:solidFill>
                      <a:srgbClr val="000000"/>
                    </a:solidFill>
                    <a:latin typeface="Arial"/>
                    <a:ea typeface="Arial"/>
                    <a:cs typeface="Arial"/>
                  </a:defRPr>
                </a:pPr>
                <a:r>
                  <a:t>Frecuencia Relativa</a:t>
                </a:r>
              </a:p>
            </c:rich>
          </c:tx>
          <c:layout>
            <c:manualLayout>
              <c:xMode val="edge"/>
              <c:yMode val="edge"/>
              <c:x val="2.3474178403755886E-3"/>
              <c:y val="0.18245614035087726"/>
            </c:manualLayout>
          </c:layout>
          <c:spPr>
            <a:noFill/>
            <a:ln w="25341">
              <a:noFill/>
            </a:ln>
          </c:spPr>
        </c:title>
        <c:numFmt formatCode="General" sourceLinked="0"/>
        <c:tickLblPos val="nextTo"/>
        <c:spPr>
          <a:ln w="3168">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ES"/>
          </a:p>
        </c:txPr>
        <c:crossAx val="267462144"/>
        <c:crosses val="autoZero"/>
        <c:crossBetween val="between"/>
      </c:valAx>
      <c:spPr>
        <a:blipFill dpi="0" rotWithShape="0">
          <a:blip xmlns:r="http://schemas.openxmlformats.org/officeDocument/2006/relationships" r:embed="rId1"/>
          <a:srcRect/>
          <a:tile tx="0" ty="0" sx="100000" sy="100000" flip="none" algn="tl"/>
        </a:blipFill>
        <a:ln w="12671">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6.1302681992337203E-2"/>
          <c:w val="0.82629107981220651"/>
          <c:h val="0.69348659003831392"/>
        </c:manualLayout>
      </c:layout>
      <c:barChart>
        <c:barDir val="col"/>
        <c:grouping val="clustered"/>
        <c:ser>
          <c:idx val="0"/>
          <c:order val="0"/>
          <c:spPr>
            <a:gradFill rotWithShape="0">
              <a:gsLst>
                <a:gs pos="0">
                  <a:srgbClr val="FFCC99">
                    <a:gamma/>
                    <a:shade val="46275"/>
                    <a:invGamma/>
                  </a:srgbClr>
                </a:gs>
                <a:gs pos="100000">
                  <a:srgbClr val="FFCC99"/>
                </a:gs>
              </a:gsLst>
              <a:lin ang="18900000" scaled="1"/>
            </a:gradFill>
            <a:ln w="11916">
              <a:solidFill>
                <a:srgbClr val="000000"/>
              </a:solidFill>
              <a:prstDash val="solid"/>
            </a:ln>
          </c:spPr>
          <c:dLbls>
            <c:spPr>
              <a:noFill/>
              <a:ln w="23832">
                <a:noFill/>
              </a:ln>
            </c:spPr>
            <c:txPr>
              <a:bodyPr/>
              <a:lstStyle/>
              <a:p>
                <a:pPr>
                  <a:defRPr sz="891" b="0" i="0" u="none" strike="noStrike" baseline="0">
                    <a:solidFill>
                      <a:srgbClr val="000000"/>
                    </a:solidFill>
                    <a:latin typeface="Arial"/>
                    <a:ea typeface="Arial"/>
                    <a:cs typeface="Arial"/>
                  </a:defRPr>
                </a:pPr>
                <a:endParaRPr lang="es-ES"/>
              </a:p>
            </c:txPr>
            <c:showVal val="1"/>
          </c:dLbls>
          <c:cat>
            <c:strRef>
              <c:f>'Hist. Frec. Obesidad'!$E$2:$E$3</c:f>
              <c:strCache>
                <c:ptCount val="2"/>
                <c:pt idx="0">
                  <c:v>Si</c:v>
                </c:pt>
                <c:pt idx="1">
                  <c:v>No</c:v>
                </c:pt>
              </c:strCache>
            </c:strRef>
          </c:cat>
          <c:val>
            <c:numRef>
              <c:f>'Hist. Frec. Obesidad'!$I$2:$I$3</c:f>
              <c:numCache>
                <c:formatCode>0.0%</c:formatCode>
                <c:ptCount val="2"/>
                <c:pt idx="0">
                  <c:v>0.14166666666666666</c:v>
                </c:pt>
                <c:pt idx="1">
                  <c:v>0.8583333333333335</c:v>
                </c:pt>
              </c:numCache>
            </c:numRef>
          </c:val>
        </c:ser>
        <c:dLbls>
          <c:showVal val="1"/>
        </c:dLbls>
        <c:axId val="267504640"/>
        <c:axId val="267805824"/>
      </c:barChart>
      <c:catAx>
        <c:axId val="267504640"/>
        <c:scaling>
          <c:orientation val="minMax"/>
        </c:scaling>
        <c:axPos val="b"/>
        <c:title>
          <c:tx>
            <c:rich>
              <a:bodyPr/>
              <a:lstStyle/>
              <a:p>
                <a:pPr>
                  <a:defRPr sz="891" b="1" i="0" u="none" strike="noStrike" baseline="0">
                    <a:solidFill>
                      <a:srgbClr val="000000"/>
                    </a:solidFill>
                    <a:latin typeface="Arial"/>
                    <a:ea typeface="Arial"/>
                    <a:cs typeface="Arial"/>
                  </a:defRPr>
                </a:pPr>
                <a:r>
                  <a:t>Obesidad</a:t>
                </a:r>
              </a:p>
            </c:rich>
          </c:tx>
          <c:layout>
            <c:manualLayout>
              <c:xMode val="edge"/>
              <c:yMode val="edge"/>
              <c:x val="0.48826291079812206"/>
              <c:y val="0.91187739463601558"/>
            </c:manualLayout>
          </c:layout>
          <c:spPr>
            <a:noFill/>
            <a:ln w="23832">
              <a:noFill/>
            </a:ln>
          </c:spPr>
        </c:title>
        <c:numFmt formatCode="General" sourceLinked="1"/>
        <c:tickLblPos val="nextTo"/>
        <c:spPr>
          <a:ln w="2979">
            <a:solidFill>
              <a:srgbClr val="000000"/>
            </a:solidFill>
            <a:prstDash val="solid"/>
          </a:ln>
        </c:spPr>
        <c:txPr>
          <a:bodyPr rot="0" vert="horz"/>
          <a:lstStyle/>
          <a:p>
            <a:pPr>
              <a:defRPr sz="891" b="0" i="0" u="none" strike="noStrike" baseline="0">
                <a:solidFill>
                  <a:srgbClr val="000000"/>
                </a:solidFill>
                <a:latin typeface="Arial"/>
                <a:ea typeface="Arial"/>
                <a:cs typeface="Arial"/>
              </a:defRPr>
            </a:pPr>
            <a:endParaRPr lang="es-ES"/>
          </a:p>
        </c:txPr>
        <c:crossAx val="267805824"/>
        <c:crosses val="autoZero"/>
        <c:auto val="1"/>
        <c:lblAlgn val="ctr"/>
        <c:lblOffset val="100"/>
        <c:tickLblSkip val="1"/>
        <c:tickMarkSkip val="1"/>
      </c:catAx>
      <c:valAx>
        <c:axId val="267805824"/>
        <c:scaling>
          <c:orientation val="minMax"/>
        </c:scaling>
        <c:axPos val="l"/>
        <c:title>
          <c:tx>
            <c:rich>
              <a:bodyPr/>
              <a:lstStyle/>
              <a:p>
                <a:pPr>
                  <a:defRPr sz="891" b="1" i="0" u="none" strike="noStrike" baseline="0">
                    <a:solidFill>
                      <a:srgbClr val="000000"/>
                    </a:solidFill>
                    <a:latin typeface="Arial"/>
                    <a:ea typeface="Arial"/>
                    <a:cs typeface="Arial"/>
                  </a:defRPr>
                </a:pPr>
                <a:r>
                  <a:t>Frecuencia Relativa</a:t>
                </a:r>
              </a:p>
            </c:rich>
          </c:tx>
          <c:layout>
            <c:manualLayout>
              <c:xMode val="edge"/>
              <c:yMode val="edge"/>
              <c:x val="0"/>
              <c:y val="0.15708812260536403"/>
            </c:manualLayout>
          </c:layout>
          <c:spPr>
            <a:noFill/>
            <a:ln w="23832">
              <a:noFill/>
            </a:ln>
          </c:spPr>
        </c:title>
        <c:numFmt formatCode="General" sourceLinked="0"/>
        <c:tickLblPos val="nextTo"/>
        <c:spPr>
          <a:ln w="2979">
            <a:solidFill>
              <a:srgbClr val="000000"/>
            </a:solidFill>
            <a:prstDash val="solid"/>
          </a:ln>
        </c:spPr>
        <c:txPr>
          <a:bodyPr rot="0" vert="horz"/>
          <a:lstStyle/>
          <a:p>
            <a:pPr>
              <a:defRPr sz="891" b="0" i="0" u="none" strike="noStrike" baseline="0">
                <a:solidFill>
                  <a:srgbClr val="000000"/>
                </a:solidFill>
                <a:latin typeface="Arial"/>
                <a:ea typeface="Arial"/>
                <a:cs typeface="Arial"/>
              </a:defRPr>
            </a:pPr>
            <a:endParaRPr lang="es-ES"/>
          </a:p>
        </c:txPr>
        <c:crossAx val="267504640"/>
        <c:crosses val="autoZero"/>
        <c:crossBetween val="between"/>
      </c:valAx>
      <c:spPr>
        <a:blipFill dpi="0" rotWithShape="0">
          <a:blip xmlns:r="http://schemas.openxmlformats.org/officeDocument/2006/relationships" r:embed="rId1"/>
          <a:srcRect/>
          <a:tile tx="0" ty="0" sx="100000" sy="100000" flip="none" algn="tl"/>
        </a:blipFill>
        <a:ln w="11916">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79">
      <a:solidFill>
        <a:srgbClr val="000000"/>
      </a:solidFill>
      <a:prstDash val="solid"/>
    </a:ln>
  </c:spPr>
  <c:txPr>
    <a:bodyPr/>
    <a:lstStyle/>
    <a:p>
      <a:pPr>
        <a:defRPr sz="891" b="0" i="0" u="none" strike="noStrike" baseline="0">
          <a:solidFill>
            <a:srgbClr val="000000"/>
          </a:solidFill>
          <a:latin typeface="Arial"/>
          <a:ea typeface="Arial"/>
          <a:cs typeface="Arial"/>
        </a:defRPr>
      </a:pPr>
      <a:endParaRPr lang="es-ES"/>
    </a:p>
  </c:txPr>
  <c:externalData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3.9007092198581575E-2"/>
          <c:w val="0.82629107981220651"/>
          <c:h val="0.73404255319148981"/>
        </c:manualLayout>
      </c:layout>
      <c:barChart>
        <c:barDir val="col"/>
        <c:grouping val="clustered"/>
        <c:ser>
          <c:idx val="0"/>
          <c:order val="0"/>
          <c:spPr>
            <a:gradFill rotWithShape="0">
              <a:gsLst>
                <a:gs pos="0">
                  <a:srgbClr val="FFCC99">
                    <a:gamma/>
                    <a:shade val="46275"/>
                    <a:invGamma/>
                  </a:srgbClr>
                </a:gs>
                <a:gs pos="100000">
                  <a:srgbClr val="FFCC99"/>
                </a:gs>
              </a:gsLst>
              <a:path path="rect">
                <a:fillToRect l="50000" t="50000" r="50000" b="50000"/>
              </a:path>
            </a:gradFill>
            <a:ln w="12688">
              <a:solidFill>
                <a:srgbClr val="000000"/>
              </a:solidFill>
              <a:prstDash val="solid"/>
            </a:ln>
          </c:spPr>
          <c:dLbls>
            <c:dLbl>
              <c:idx val="1"/>
              <c:layout>
                <c:manualLayout>
                  <c:xMode val="edge"/>
                  <c:yMode val="edge"/>
                  <c:x val="0.61502347417840408"/>
                  <c:y val="4.6099290780141862E-2"/>
                </c:manualLayout>
              </c:layout>
              <c:dLblPos val="outEnd"/>
              <c:showVal val="1"/>
            </c:dLbl>
            <c:spPr>
              <a:noFill/>
              <a:ln w="25376">
                <a:noFill/>
              </a:ln>
            </c:spPr>
            <c:txPr>
              <a:bodyPr/>
              <a:lstStyle/>
              <a:p>
                <a:pPr>
                  <a:defRPr sz="999" b="0" i="0" u="none" strike="noStrike" baseline="0">
                    <a:solidFill>
                      <a:srgbClr val="000000"/>
                    </a:solidFill>
                    <a:latin typeface="Arial"/>
                    <a:ea typeface="Arial"/>
                    <a:cs typeface="Arial"/>
                  </a:defRPr>
                </a:pPr>
                <a:endParaRPr lang="es-ES"/>
              </a:p>
            </c:txPr>
            <c:showVal val="1"/>
          </c:dLbls>
          <c:cat>
            <c:strRef>
              <c:f>'Hist. Frec. Hipert. Controlada'!$E$2:$E$3</c:f>
              <c:strCache>
                <c:ptCount val="2"/>
                <c:pt idx="0">
                  <c:v>Si</c:v>
                </c:pt>
                <c:pt idx="1">
                  <c:v>No</c:v>
                </c:pt>
              </c:strCache>
            </c:strRef>
          </c:cat>
          <c:val>
            <c:numRef>
              <c:f>'Hist. Frec. Hipert. Controlada'!$I$2:$I$3</c:f>
              <c:numCache>
                <c:formatCode>0%</c:formatCode>
                <c:ptCount val="2"/>
                <c:pt idx="0">
                  <c:v>0.33333333333333331</c:v>
                </c:pt>
                <c:pt idx="1">
                  <c:v>0.66666666666666663</c:v>
                </c:pt>
              </c:numCache>
            </c:numRef>
          </c:val>
        </c:ser>
        <c:dLbls>
          <c:showVal val="1"/>
        </c:dLbls>
        <c:axId val="268096256"/>
        <c:axId val="268098176"/>
      </c:barChart>
      <c:catAx>
        <c:axId val="268096256"/>
        <c:scaling>
          <c:orientation val="minMax"/>
        </c:scaling>
        <c:axPos val="b"/>
        <c:title>
          <c:tx>
            <c:rich>
              <a:bodyPr/>
              <a:lstStyle/>
              <a:p>
                <a:pPr>
                  <a:defRPr sz="999" b="1" i="0" u="none" strike="noStrike" baseline="0">
                    <a:solidFill>
                      <a:srgbClr val="000000"/>
                    </a:solidFill>
                    <a:latin typeface="Arial"/>
                    <a:ea typeface="Arial"/>
                    <a:cs typeface="Arial"/>
                  </a:defRPr>
                </a:pPr>
                <a:r>
                  <a:t>Hipertención Controlada</a:t>
                </a:r>
              </a:p>
            </c:rich>
          </c:tx>
          <c:layout>
            <c:manualLayout>
              <c:xMode val="edge"/>
              <c:yMode val="edge"/>
              <c:x val="0.37793427230046972"/>
              <c:y val="0.88297872340425532"/>
            </c:manualLayout>
          </c:layout>
          <c:spPr>
            <a:noFill/>
            <a:ln w="25376">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68098176"/>
        <c:crosses val="autoZero"/>
        <c:auto val="1"/>
        <c:lblAlgn val="ctr"/>
        <c:lblOffset val="100"/>
        <c:tickLblSkip val="1"/>
        <c:tickMarkSkip val="1"/>
      </c:catAx>
      <c:valAx>
        <c:axId val="268098176"/>
        <c:scaling>
          <c:orientation val="minMax"/>
        </c:scaling>
        <c:axPos val="l"/>
        <c:title>
          <c:tx>
            <c:rich>
              <a:bodyPr/>
              <a:lstStyle/>
              <a:p>
                <a:pPr>
                  <a:defRPr sz="999" b="1" i="0" u="none" strike="noStrike" baseline="0">
                    <a:solidFill>
                      <a:srgbClr val="000000"/>
                    </a:solidFill>
                    <a:latin typeface="Arial"/>
                    <a:ea typeface="Arial"/>
                    <a:cs typeface="Arial"/>
                  </a:defRPr>
                </a:pPr>
                <a:r>
                  <a:t>Frecuencia Relativa</a:t>
                </a:r>
              </a:p>
            </c:rich>
          </c:tx>
          <c:layout>
            <c:manualLayout>
              <c:xMode val="edge"/>
              <c:yMode val="edge"/>
              <c:x val="2.3474178403755886E-3"/>
              <c:y val="0.17021276595744686"/>
            </c:manualLayout>
          </c:layout>
          <c:spPr>
            <a:noFill/>
            <a:ln w="25376">
              <a:noFill/>
            </a:ln>
          </c:spPr>
        </c:title>
        <c:numFmt formatCode="General" sourceLinked="0"/>
        <c:tickLblPos val="nextTo"/>
        <c:spPr>
          <a:ln w="3172">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68096256"/>
        <c:crosses val="autoZero"/>
        <c:crossBetween val="between"/>
      </c:valAx>
      <c:spPr>
        <a:blipFill dpi="0" rotWithShape="0">
          <a:blip xmlns:r="http://schemas.openxmlformats.org/officeDocument/2006/relationships" r:embed="rId1"/>
          <a:srcRect/>
          <a:tile tx="0" ty="0" sx="100000" sy="100000" flip="none" algn="tl"/>
        </a:blipFill>
        <a:ln w="12688">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3474178403762"/>
          <c:y val="4.0145985401459833E-2"/>
          <c:w val="0.82629107981220651"/>
          <c:h val="0.72262773722627771"/>
        </c:manualLayout>
      </c:layout>
      <c:barChart>
        <c:barDir val="col"/>
        <c:grouping val="clustered"/>
        <c:ser>
          <c:idx val="0"/>
          <c:order val="0"/>
          <c:spPr>
            <a:gradFill rotWithShape="0">
              <a:gsLst>
                <a:gs pos="0">
                  <a:srgbClr val="FFCC99"/>
                </a:gs>
                <a:gs pos="100000">
                  <a:srgbClr val="FFCC99">
                    <a:gamma/>
                    <a:shade val="46275"/>
                    <a:invGamma/>
                  </a:srgbClr>
                </a:gs>
              </a:gsLst>
              <a:lin ang="0" scaled="1"/>
            </a:gradFill>
            <a:ln w="11953">
              <a:solidFill>
                <a:srgbClr val="000000"/>
              </a:solidFill>
              <a:prstDash val="solid"/>
            </a:ln>
          </c:spPr>
          <c:dLbls>
            <c:dLbl>
              <c:idx val="1"/>
              <c:layout>
                <c:manualLayout>
                  <c:xMode val="edge"/>
                  <c:yMode val="edge"/>
                  <c:x val="0.61032863849765262"/>
                  <c:y val="8.3941605839416067E-2"/>
                </c:manualLayout>
              </c:layout>
              <c:dLblPos val="outEnd"/>
              <c:showVal val="1"/>
            </c:dLbl>
            <c:spPr>
              <a:noFill/>
              <a:ln w="23907">
                <a:noFill/>
              </a:ln>
            </c:spPr>
            <c:txPr>
              <a:bodyPr/>
              <a:lstStyle/>
              <a:p>
                <a:pPr>
                  <a:defRPr sz="894" b="1" i="1" u="none" strike="noStrike" baseline="0">
                    <a:solidFill>
                      <a:srgbClr val="000000"/>
                    </a:solidFill>
                    <a:latin typeface="Arial"/>
                    <a:ea typeface="Arial"/>
                    <a:cs typeface="Arial"/>
                  </a:defRPr>
                </a:pPr>
                <a:endParaRPr lang="es-ES"/>
              </a:p>
            </c:txPr>
            <c:showVal val="1"/>
          </c:dLbls>
          <c:cat>
            <c:strRef>
              <c:f>'Hist. Frec. Alergias'!$E$2:$E$3</c:f>
              <c:strCache>
                <c:ptCount val="2"/>
                <c:pt idx="0">
                  <c:v>Si</c:v>
                </c:pt>
                <c:pt idx="1">
                  <c:v>No</c:v>
                </c:pt>
              </c:strCache>
            </c:strRef>
          </c:cat>
          <c:val>
            <c:numRef>
              <c:f>'Hist. Frec. Alergias'!$I$2:$I$3</c:f>
              <c:numCache>
                <c:formatCode>0%</c:formatCode>
                <c:ptCount val="2"/>
                <c:pt idx="0">
                  <c:v>6.666666666666668E-2</c:v>
                </c:pt>
                <c:pt idx="1">
                  <c:v>0.93333333333333335</c:v>
                </c:pt>
              </c:numCache>
            </c:numRef>
          </c:val>
        </c:ser>
        <c:dLbls>
          <c:showVal val="1"/>
        </c:dLbls>
        <c:axId val="268167424"/>
        <c:axId val="285290880"/>
      </c:barChart>
      <c:catAx>
        <c:axId val="268167424"/>
        <c:scaling>
          <c:orientation val="minMax"/>
        </c:scaling>
        <c:axPos val="b"/>
        <c:title>
          <c:tx>
            <c:rich>
              <a:bodyPr/>
              <a:lstStyle/>
              <a:p>
                <a:pPr>
                  <a:defRPr sz="894" b="1" i="0" u="none" strike="noStrike" baseline="0">
                    <a:solidFill>
                      <a:srgbClr val="000000"/>
                    </a:solidFill>
                    <a:latin typeface="Arial"/>
                    <a:ea typeface="Arial"/>
                    <a:cs typeface="Arial"/>
                  </a:defRPr>
                </a:pPr>
                <a:r>
                  <a:t>Alergias</a:t>
                </a:r>
              </a:p>
            </c:rich>
          </c:tx>
          <c:layout>
            <c:manualLayout>
              <c:xMode val="edge"/>
              <c:yMode val="edge"/>
              <c:x val="0.49765258215962466"/>
              <c:y val="0.87591240875912413"/>
            </c:manualLayout>
          </c:layout>
          <c:spPr>
            <a:noFill/>
            <a:ln w="23907">
              <a:noFill/>
            </a:ln>
          </c:spPr>
        </c:title>
        <c:numFmt formatCode="General" sourceLinked="1"/>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85290880"/>
        <c:crosses val="autoZero"/>
        <c:auto val="1"/>
        <c:lblAlgn val="ctr"/>
        <c:lblOffset val="100"/>
        <c:tickLblSkip val="1"/>
        <c:tickMarkSkip val="1"/>
      </c:catAx>
      <c:valAx>
        <c:axId val="285290880"/>
        <c:scaling>
          <c:orientation val="minMax"/>
        </c:scaling>
        <c:axPos val="l"/>
        <c:title>
          <c:tx>
            <c:rich>
              <a:bodyPr/>
              <a:lstStyle/>
              <a:p>
                <a:pPr>
                  <a:defRPr sz="894" b="1" i="0" u="none" strike="noStrike" baseline="0">
                    <a:solidFill>
                      <a:srgbClr val="000000"/>
                    </a:solidFill>
                    <a:latin typeface="Arial"/>
                    <a:ea typeface="Arial"/>
                    <a:cs typeface="Arial"/>
                  </a:defRPr>
                </a:pPr>
                <a:r>
                  <a:t>Frecuencia Relativa</a:t>
                </a:r>
              </a:p>
            </c:rich>
          </c:tx>
          <c:layout>
            <c:manualLayout>
              <c:xMode val="edge"/>
              <c:yMode val="edge"/>
              <c:x val="0"/>
              <c:y val="0.18613138686131397"/>
            </c:manualLayout>
          </c:layout>
          <c:spPr>
            <a:noFill/>
            <a:ln w="23907">
              <a:noFill/>
            </a:ln>
          </c:spPr>
        </c:title>
        <c:numFmt formatCode="General" sourceLinked="0"/>
        <c:tickLblPos val="nextTo"/>
        <c:spPr>
          <a:ln w="2988">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s-ES"/>
          </a:p>
        </c:txPr>
        <c:crossAx val="268167424"/>
        <c:crosses val="autoZero"/>
        <c:crossBetween val="between"/>
      </c:valAx>
      <c:spPr>
        <a:blipFill dpi="0" rotWithShape="0">
          <a:blip xmlns:r="http://schemas.openxmlformats.org/officeDocument/2006/relationships" r:embed="rId1"/>
          <a:srcRect/>
          <a:tile tx="0" ty="0" sx="100000" sy="100000" flip="none" algn="tl"/>
        </a:blipFill>
        <a:ln w="11953">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2988">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3"/>
</c:chartSpace>
</file>

<file path=word/drawings/drawing1.xml><?xml version="1.0" encoding="utf-8"?>
<c:userShapes xmlns:c="http://schemas.openxmlformats.org/drawingml/2006/chart">
  <cdr:relSizeAnchor xmlns:cdr="http://schemas.openxmlformats.org/drawingml/2006/chartDrawing">
    <cdr:from>
      <cdr:x>0.229</cdr:x>
      <cdr:y>0.87025</cdr:y>
    </cdr:from>
    <cdr:to>
      <cdr:x>0.421</cdr:x>
      <cdr:y>0.93825</cdr:y>
    </cdr:to>
    <cdr:sp macro="" textlink="">
      <cdr:nvSpPr>
        <cdr:cNvPr id="66561" name="Text Box 1"/>
        <cdr:cNvSpPr txBox="1">
          <a:spLocks xmlns:a="http://schemas.openxmlformats.org/drawingml/2006/main" noChangeArrowheads="1"/>
        </cdr:cNvSpPr>
      </cdr:nvSpPr>
      <cdr:spPr bwMode="auto">
        <a:xfrm xmlns:a="http://schemas.openxmlformats.org/drawingml/2006/main">
          <a:off x="1007726" y="2345824"/>
          <a:ext cx="844906" cy="1832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975" b="1" i="0" strike="noStrike">
              <a:solidFill>
                <a:srgbClr val="000000"/>
              </a:solidFill>
              <a:latin typeface="Arial"/>
              <a:cs typeface="Arial"/>
            </a:rPr>
            <a:t>Femenino</a:t>
          </a:r>
        </a:p>
      </cdr:txBody>
    </cdr:sp>
  </cdr:relSizeAnchor>
  <cdr:relSizeAnchor xmlns:cdr="http://schemas.openxmlformats.org/drawingml/2006/chartDrawing">
    <cdr:from>
      <cdr:x>0.62075</cdr:x>
      <cdr:y>0.87025</cdr:y>
    </cdr:from>
    <cdr:to>
      <cdr:x>0.8165</cdr:x>
      <cdr:y>0.94875</cdr:y>
    </cdr:to>
    <cdr:sp macro="" textlink="">
      <cdr:nvSpPr>
        <cdr:cNvPr id="66562" name="Text Box 2"/>
        <cdr:cNvSpPr txBox="1">
          <a:spLocks xmlns:a="http://schemas.openxmlformats.org/drawingml/2006/main" noChangeArrowheads="1"/>
        </cdr:cNvSpPr>
      </cdr:nvSpPr>
      <cdr:spPr bwMode="auto">
        <a:xfrm xmlns:a="http://schemas.openxmlformats.org/drawingml/2006/main">
          <a:off x="2731641" y="2345824"/>
          <a:ext cx="861408" cy="2116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975" b="1" i="0" strike="noStrike">
              <a:solidFill>
                <a:srgbClr val="000000"/>
              </a:solidFill>
              <a:latin typeface="Arial"/>
              <a:cs typeface="Arial"/>
            </a:rPr>
            <a:t>Masculino</a:t>
          </a:r>
        </a:p>
      </cdr:txBody>
    </cdr:sp>
  </cdr:relSizeAnchor>
</c:userShapes>
</file>

<file path=word/drawings/drawing2.xml><?xml version="1.0" encoding="utf-8"?>
<c:userShapes xmlns:c="http://schemas.openxmlformats.org/drawingml/2006/chart">
  <cdr:relSizeAnchor xmlns:cdr="http://schemas.openxmlformats.org/drawingml/2006/chartDrawing">
    <cdr:from>
      <cdr:x>0.098</cdr:x>
      <cdr:y>0.873</cdr:y>
    </cdr:from>
    <cdr:to>
      <cdr:x>0.2205</cdr:x>
      <cdr:y>0.927</cdr:y>
    </cdr:to>
    <cdr:sp macro="" textlink="">
      <cdr:nvSpPr>
        <cdr:cNvPr id="11265" name="Text Box 1"/>
        <cdr:cNvSpPr txBox="1">
          <a:spLocks xmlns:a="http://schemas.openxmlformats.org/drawingml/2006/main" noChangeArrowheads="1"/>
        </cdr:cNvSpPr>
      </cdr:nvSpPr>
      <cdr:spPr bwMode="auto">
        <a:xfrm xmlns:a="http://schemas.openxmlformats.org/drawingml/2006/main">
          <a:off x="476060" y="3010148"/>
          <a:ext cx="595074" cy="1861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[21 - 29)</a:t>
          </a:r>
        </a:p>
      </cdr:txBody>
    </cdr:sp>
  </cdr:relSizeAnchor>
  <cdr:relSizeAnchor xmlns:cdr="http://schemas.openxmlformats.org/drawingml/2006/chartDrawing">
    <cdr:from>
      <cdr:x>0.211</cdr:x>
      <cdr:y>0.87275</cdr:y>
    </cdr:from>
    <cdr:to>
      <cdr:x>0.32225</cdr:x>
      <cdr:y>0.92775</cdr:y>
    </cdr:to>
    <cdr:sp macro="" textlink="">
      <cdr:nvSpPr>
        <cdr:cNvPr id="11266" name="Text Box 2"/>
        <cdr:cNvSpPr txBox="1">
          <a:spLocks xmlns:a="http://schemas.openxmlformats.org/drawingml/2006/main" noChangeArrowheads="1"/>
        </cdr:cNvSpPr>
      </cdr:nvSpPr>
      <cdr:spPr bwMode="auto">
        <a:xfrm xmlns:a="http://schemas.openxmlformats.org/drawingml/2006/main">
          <a:off x="1024985" y="3009286"/>
          <a:ext cx="540425"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[29 - 37)</a:t>
          </a:r>
        </a:p>
      </cdr:txBody>
    </cdr:sp>
  </cdr:relSizeAnchor>
  <cdr:relSizeAnchor xmlns:cdr="http://schemas.openxmlformats.org/drawingml/2006/chartDrawing">
    <cdr:from>
      <cdr:x>0.30075</cdr:x>
      <cdr:y>0.87275</cdr:y>
    </cdr:from>
    <cdr:to>
      <cdr:x>0.41275</cdr:x>
      <cdr:y>0.92775</cdr:y>
    </cdr:to>
    <cdr:sp macro="" textlink="">
      <cdr:nvSpPr>
        <cdr:cNvPr id="11267" name="Text Box 3"/>
        <cdr:cNvSpPr txBox="1">
          <a:spLocks xmlns:a="http://schemas.openxmlformats.org/drawingml/2006/main" noChangeArrowheads="1"/>
        </cdr:cNvSpPr>
      </cdr:nvSpPr>
      <cdr:spPr bwMode="auto">
        <a:xfrm xmlns:a="http://schemas.openxmlformats.org/drawingml/2006/main">
          <a:off x="1460968" y="3009286"/>
          <a:ext cx="544068"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[37 - 45)</a:t>
          </a:r>
        </a:p>
      </cdr:txBody>
    </cdr:sp>
  </cdr:relSizeAnchor>
  <cdr:relSizeAnchor xmlns:cdr="http://schemas.openxmlformats.org/drawingml/2006/chartDrawing">
    <cdr:from>
      <cdr:x>0.3965</cdr:x>
      <cdr:y>0.87275</cdr:y>
    </cdr:from>
    <cdr:to>
      <cdr:x>0.50775</cdr:x>
      <cdr:y>0.92775</cdr:y>
    </cdr:to>
    <cdr:sp macro="" textlink="">
      <cdr:nvSpPr>
        <cdr:cNvPr id="11268" name="Text Box 4"/>
        <cdr:cNvSpPr txBox="1">
          <a:spLocks xmlns:a="http://schemas.openxmlformats.org/drawingml/2006/main" noChangeArrowheads="1"/>
        </cdr:cNvSpPr>
      </cdr:nvSpPr>
      <cdr:spPr bwMode="auto">
        <a:xfrm xmlns:a="http://schemas.openxmlformats.org/drawingml/2006/main">
          <a:off x="1926098" y="3009286"/>
          <a:ext cx="540425"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[45 - 53)</a:t>
          </a:r>
        </a:p>
      </cdr:txBody>
    </cdr:sp>
  </cdr:relSizeAnchor>
  <cdr:relSizeAnchor xmlns:cdr="http://schemas.openxmlformats.org/drawingml/2006/chartDrawing">
    <cdr:from>
      <cdr:x>0.493</cdr:x>
      <cdr:y>0.87275</cdr:y>
    </cdr:from>
    <cdr:to>
      <cdr:x>0.60425</cdr:x>
      <cdr:y>0.92775</cdr:y>
    </cdr:to>
    <cdr:sp macro="" textlink="">
      <cdr:nvSpPr>
        <cdr:cNvPr id="11269" name="Text Box 5"/>
        <cdr:cNvSpPr txBox="1">
          <a:spLocks xmlns:a="http://schemas.openxmlformats.org/drawingml/2006/main" noChangeArrowheads="1"/>
        </cdr:cNvSpPr>
      </cdr:nvSpPr>
      <cdr:spPr bwMode="auto">
        <a:xfrm xmlns:a="http://schemas.openxmlformats.org/drawingml/2006/main">
          <a:off x="2394871" y="3009286"/>
          <a:ext cx="540424"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[53 - 61)</a:t>
          </a:r>
        </a:p>
      </cdr:txBody>
    </cdr:sp>
  </cdr:relSizeAnchor>
  <cdr:relSizeAnchor xmlns:cdr="http://schemas.openxmlformats.org/drawingml/2006/chartDrawing">
    <cdr:from>
      <cdr:x>0.5845</cdr:x>
      <cdr:y>0.87275</cdr:y>
    </cdr:from>
    <cdr:to>
      <cdr:x>0.69575</cdr:x>
      <cdr:y>0.92775</cdr:y>
    </cdr:to>
    <cdr:sp macro="" textlink="">
      <cdr:nvSpPr>
        <cdr:cNvPr id="11270" name="Text Box 6"/>
        <cdr:cNvSpPr txBox="1">
          <a:spLocks xmlns:a="http://schemas.openxmlformats.org/drawingml/2006/main" noChangeArrowheads="1"/>
        </cdr:cNvSpPr>
      </cdr:nvSpPr>
      <cdr:spPr bwMode="auto">
        <a:xfrm xmlns:a="http://schemas.openxmlformats.org/drawingml/2006/main">
          <a:off x="2839355" y="3009286"/>
          <a:ext cx="540425"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[61 - 69)</a:t>
          </a:r>
        </a:p>
      </cdr:txBody>
    </cdr:sp>
  </cdr:relSizeAnchor>
  <cdr:relSizeAnchor xmlns:cdr="http://schemas.openxmlformats.org/drawingml/2006/chartDrawing">
    <cdr:from>
      <cdr:x>0.6855</cdr:x>
      <cdr:y>0.87275</cdr:y>
    </cdr:from>
    <cdr:to>
      <cdr:x>0.79575</cdr:x>
      <cdr:y>0.92775</cdr:y>
    </cdr:to>
    <cdr:sp macro="" textlink="">
      <cdr:nvSpPr>
        <cdr:cNvPr id="11271" name="Text Box 7"/>
        <cdr:cNvSpPr txBox="1">
          <a:spLocks xmlns:a="http://schemas.openxmlformats.org/drawingml/2006/main" noChangeArrowheads="1"/>
        </cdr:cNvSpPr>
      </cdr:nvSpPr>
      <cdr:spPr bwMode="auto">
        <a:xfrm xmlns:a="http://schemas.openxmlformats.org/drawingml/2006/main">
          <a:off x="3329988" y="3009286"/>
          <a:ext cx="535567"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[69 - 77)</a:t>
          </a:r>
        </a:p>
      </cdr:txBody>
    </cdr:sp>
  </cdr:relSizeAnchor>
  <cdr:relSizeAnchor xmlns:cdr="http://schemas.openxmlformats.org/drawingml/2006/chartDrawing">
    <cdr:from>
      <cdr:x>0.7865</cdr:x>
      <cdr:y>0.87275</cdr:y>
    </cdr:from>
    <cdr:to>
      <cdr:x>0.8985</cdr:x>
      <cdr:y>0.92775</cdr:y>
    </cdr:to>
    <cdr:sp macro="" textlink="">
      <cdr:nvSpPr>
        <cdr:cNvPr id="11272" name="Text Box 8"/>
        <cdr:cNvSpPr txBox="1">
          <a:spLocks xmlns:a="http://schemas.openxmlformats.org/drawingml/2006/main" noChangeArrowheads="1"/>
        </cdr:cNvSpPr>
      </cdr:nvSpPr>
      <cdr:spPr bwMode="auto">
        <a:xfrm xmlns:a="http://schemas.openxmlformats.org/drawingml/2006/main">
          <a:off x="3820620" y="3009286"/>
          <a:ext cx="544068"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[77 - 85)</a:t>
          </a:r>
        </a:p>
      </cdr:txBody>
    </cdr:sp>
  </cdr:relSizeAnchor>
  <cdr:relSizeAnchor xmlns:cdr="http://schemas.openxmlformats.org/drawingml/2006/chartDrawing">
    <cdr:from>
      <cdr:x>0.883</cdr:x>
      <cdr:y>0.87275</cdr:y>
    </cdr:from>
    <cdr:to>
      <cdr:x>0.997</cdr:x>
      <cdr:y>0.92775</cdr:y>
    </cdr:to>
    <cdr:sp macro="" textlink="">
      <cdr:nvSpPr>
        <cdr:cNvPr id="11273" name="Text Box 9"/>
        <cdr:cNvSpPr txBox="1">
          <a:spLocks xmlns:a="http://schemas.openxmlformats.org/drawingml/2006/main" noChangeArrowheads="1"/>
        </cdr:cNvSpPr>
      </cdr:nvSpPr>
      <cdr:spPr bwMode="auto">
        <a:xfrm xmlns:a="http://schemas.openxmlformats.org/drawingml/2006/main">
          <a:off x="4289393" y="3009286"/>
          <a:ext cx="553784" cy="189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ES" sz="825" b="1" i="0" strike="noStrike">
              <a:solidFill>
                <a:srgbClr val="000000"/>
              </a:solidFill>
              <a:latin typeface="Arial"/>
              <a:cs typeface="Arial"/>
            </a:rPr>
            <a:t>[85 - 93)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174</Pages>
  <Words>21291</Words>
  <Characters>117104</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CAPITULO 1</vt:lpstr>
    </vt:vector>
  </TitlesOfParts>
  <Company>Espol</Company>
  <LinksUpToDate>false</LinksUpToDate>
  <CharactersWithSpaces>138119</CharactersWithSpaces>
  <SharedDoc>false</SharedDoc>
  <HLinks>
    <vt:vector size="72" baseType="variant">
      <vt:variant>
        <vt:i4>1245238</vt:i4>
      </vt:variant>
      <vt:variant>
        <vt:i4>336</vt:i4>
      </vt:variant>
      <vt:variant>
        <vt:i4>0</vt:i4>
      </vt:variant>
      <vt:variant>
        <vt:i4>5</vt:i4>
      </vt:variant>
      <vt:variant>
        <vt:lpwstr>http://www.psico.uniovi.es/Dpto_Psicologia/metodos/hardcopy/ref.html</vt:lpwstr>
      </vt:variant>
      <vt:variant>
        <vt:lpwstr>r7</vt:lpwstr>
      </vt:variant>
      <vt:variant>
        <vt:i4>1179702</vt:i4>
      </vt:variant>
      <vt:variant>
        <vt:i4>333</vt:i4>
      </vt:variant>
      <vt:variant>
        <vt:i4>0</vt:i4>
      </vt:variant>
      <vt:variant>
        <vt:i4>5</vt:i4>
      </vt:variant>
      <vt:variant>
        <vt:lpwstr>http://www.psico.uniovi.es/Dpto_Psicologia/metodos/hardcopy/ref.html</vt:lpwstr>
      </vt:variant>
      <vt:variant>
        <vt:lpwstr>r6</vt:lpwstr>
      </vt:variant>
      <vt:variant>
        <vt:i4>3801197</vt:i4>
      </vt:variant>
      <vt:variant>
        <vt:i4>68133</vt:i4>
      </vt:variant>
      <vt:variant>
        <vt:i4>1135</vt:i4>
      </vt:variant>
      <vt:variant>
        <vt:i4>1</vt:i4>
      </vt:variant>
      <vt:variant>
        <vt:lpwstr>image0</vt:lpwstr>
      </vt:variant>
      <vt:variant>
        <vt:lpwstr/>
      </vt:variant>
      <vt:variant>
        <vt:i4>3866733</vt:i4>
      </vt:variant>
      <vt:variant>
        <vt:i4>70350</vt:i4>
      </vt:variant>
      <vt:variant>
        <vt:i4>1136</vt:i4>
      </vt:variant>
      <vt:variant>
        <vt:i4>1</vt:i4>
      </vt:variant>
      <vt:variant>
        <vt:lpwstr>image1</vt:lpwstr>
      </vt:variant>
      <vt:variant>
        <vt:lpwstr/>
      </vt:variant>
      <vt:variant>
        <vt:i4>3670125</vt:i4>
      </vt:variant>
      <vt:variant>
        <vt:i4>71007</vt:i4>
      </vt:variant>
      <vt:variant>
        <vt:i4>1137</vt:i4>
      </vt:variant>
      <vt:variant>
        <vt:i4>1</vt:i4>
      </vt:variant>
      <vt:variant>
        <vt:lpwstr>image2</vt:lpwstr>
      </vt:variant>
      <vt:variant>
        <vt:lpwstr/>
      </vt:variant>
      <vt:variant>
        <vt:i4>3735661</vt:i4>
      </vt:variant>
      <vt:variant>
        <vt:i4>71646</vt:i4>
      </vt:variant>
      <vt:variant>
        <vt:i4>1138</vt:i4>
      </vt:variant>
      <vt:variant>
        <vt:i4>1</vt:i4>
      </vt:variant>
      <vt:variant>
        <vt:lpwstr>image3</vt:lpwstr>
      </vt:variant>
      <vt:variant>
        <vt:lpwstr/>
      </vt:variant>
      <vt:variant>
        <vt:i4>4063341</vt:i4>
      </vt:variant>
      <vt:variant>
        <vt:i4>71854</vt:i4>
      </vt:variant>
      <vt:variant>
        <vt:i4>1139</vt:i4>
      </vt:variant>
      <vt:variant>
        <vt:i4>1</vt:i4>
      </vt:variant>
      <vt:variant>
        <vt:lpwstr>image4</vt:lpwstr>
      </vt:variant>
      <vt:variant>
        <vt:lpwstr/>
      </vt:variant>
      <vt:variant>
        <vt:i4>4128877</vt:i4>
      </vt:variant>
      <vt:variant>
        <vt:i4>72679</vt:i4>
      </vt:variant>
      <vt:variant>
        <vt:i4>1140</vt:i4>
      </vt:variant>
      <vt:variant>
        <vt:i4>1</vt:i4>
      </vt:variant>
      <vt:variant>
        <vt:lpwstr>Image5</vt:lpwstr>
      </vt:variant>
      <vt:variant>
        <vt:lpwstr/>
      </vt:variant>
      <vt:variant>
        <vt:i4>3932269</vt:i4>
      </vt:variant>
      <vt:variant>
        <vt:i4>73778</vt:i4>
      </vt:variant>
      <vt:variant>
        <vt:i4>1141</vt:i4>
      </vt:variant>
      <vt:variant>
        <vt:i4>1</vt:i4>
      </vt:variant>
      <vt:variant>
        <vt:lpwstr>image6</vt:lpwstr>
      </vt:variant>
      <vt:variant>
        <vt:lpwstr/>
      </vt:variant>
      <vt:variant>
        <vt:i4>3997805</vt:i4>
      </vt:variant>
      <vt:variant>
        <vt:i4>73967</vt:i4>
      </vt:variant>
      <vt:variant>
        <vt:i4>1142</vt:i4>
      </vt:variant>
      <vt:variant>
        <vt:i4>1</vt:i4>
      </vt:variant>
      <vt:variant>
        <vt:lpwstr>image7</vt:lpwstr>
      </vt:variant>
      <vt:variant>
        <vt:lpwstr/>
      </vt:variant>
      <vt:variant>
        <vt:i4>3276909</vt:i4>
      </vt:variant>
      <vt:variant>
        <vt:i4>74840</vt:i4>
      </vt:variant>
      <vt:variant>
        <vt:i4>1143</vt:i4>
      </vt:variant>
      <vt:variant>
        <vt:i4>1</vt:i4>
      </vt:variant>
      <vt:variant>
        <vt:lpwstr>image8</vt:lpwstr>
      </vt:variant>
      <vt:variant>
        <vt:lpwstr/>
      </vt:variant>
      <vt:variant>
        <vt:i4>3342445</vt:i4>
      </vt:variant>
      <vt:variant>
        <vt:i4>75241</vt:i4>
      </vt:variant>
      <vt:variant>
        <vt:i4>1144</vt:i4>
      </vt:variant>
      <vt:variant>
        <vt:i4>1</vt:i4>
      </vt:variant>
      <vt:variant>
        <vt:lpwstr>Image9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Víctor Anibal Malucín Medina</dc:creator>
  <cp:keywords/>
  <dc:description/>
  <cp:lastModifiedBy>Ayudante</cp:lastModifiedBy>
  <cp:revision>2</cp:revision>
  <cp:lastPrinted>2004-12-09T14:02:00Z</cp:lastPrinted>
  <dcterms:created xsi:type="dcterms:W3CDTF">2009-06-29T18:29:00Z</dcterms:created>
  <dcterms:modified xsi:type="dcterms:W3CDTF">2009-06-29T18:29:00Z</dcterms:modified>
</cp:coreProperties>
</file>