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1D1C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4.3 Análisis univariado de las variables</w:t>
      </w: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Variable: Total</w:t>
      </w: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Estadística Básicas de la Variable Total</w:t>
      </w:r>
    </w:p>
    <w:p w:rsidR="00000000" w:rsidRDefault="001D1D1C">
      <w:pPr>
        <w:rPr>
          <w:rFonts w:ascii="Times New Roman" w:hAnsi="Times New Roman"/>
          <w:vertAlign w:val="baselin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924336" w:rsidTr="0092433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gridSpan w:val="2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Estadístico</w:t>
            </w:r>
          </w:p>
        </w:tc>
        <w:tc>
          <w:tcPr>
            <w:tcW w:w="709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Año</w:t>
            </w:r>
          </w:p>
        </w:tc>
        <w:tc>
          <w:tcPr>
            <w:tcW w:w="709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0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0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0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Media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705.58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799.75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708.42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802.00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551.25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681.83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642.67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608.38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Intervalo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L. I.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568.57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689.48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539.61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646.54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384.62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534.88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553.52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484.38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De confianza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L. S.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842.60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910.02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877.22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957.46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717.88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828.79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731.82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732.37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Mediana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769.5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805.5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790.5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594.5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740.5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701.5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612.5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Varianza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46,503.36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30,118.93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70,587.36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59,869.64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68,779.30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53,497.24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19,6</w:t>
            </w:r>
            <w:r>
              <w:rPr>
                <w:rFonts w:ascii="Times New Roman" w:hAnsi="Times New Roman"/>
                <w:sz w:val="20"/>
                <w:vertAlign w:val="baseline"/>
              </w:rPr>
              <w:t>87.33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21,998.55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Desviación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Típica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215.65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173.55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265.68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244.68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262.26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231.29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140.31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148.32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A. Inter.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240.5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242.75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429.5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361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349.5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188.75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227.75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Asimetría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-1.90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-1.12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-1.13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-1.18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Curtosis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4.06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0.69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0.12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0.71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0.98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-0.3</w:t>
            </w:r>
            <w:r>
              <w:rPr>
                <w:rFonts w:ascii="Times New Roman" w:hAnsi="Times New Roman"/>
                <w:sz w:val="20"/>
                <w:vertAlign w:val="baseline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-0.70</w:t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Histogramas de Frecuencias de la Variable Total para los años: 1993, 1994, 1995, 1996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1"/>
        <w:gridCol w:w="41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095500"/>
                  <wp:effectExtent l="1905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667000" cy="208280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273300"/>
                  <wp:effectExtent l="1905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667000" cy="2273300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lastRenderedPageBreak/>
        <w:t>Histogramas de Frecuencias de la Variable Total para los años: 1997, 1998, 1999, 2000</w:t>
      </w:r>
    </w:p>
    <w:p w:rsidR="00000000" w:rsidRDefault="001D1D1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1"/>
        <w:gridCol w:w="41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667000" cy="2209800"/>
                  <wp:effectExtent l="1905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667000" cy="2209800"/>
                  <wp:effectExtent l="1905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578100" cy="2387600"/>
                  <wp:effectExtent l="1905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667000" cy="2400300"/>
                  <wp:effectExtent l="1905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En este cuadro y gráficos, podemos observar </w:t>
      </w:r>
      <w:r>
        <w:rPr>
          <w:rFonts w:ascii="Times New Roman" w:hAnsi="Times New Roman"/>
          <w:vertAlign w:val="baseline"/>
        </w:rPr>
        <w:t>lo siguiente:</w:t>
      </w: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 w:rsidP="001D1D1C">
      <w:pPr>
        <w:numPr>
          <w:ilvl w:val="0"/>
          <w:numId w:val="1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Existe demasiada dispersión de la información en todos los años.</w:t>
      </w:r>
    </w:p>
    <w:p w:rsidR="00000000" w:rsidRDefault="001D1D1C" w:rsidP="001D1D1C">
      <w:pPr>
        <w:numPr>
          <w:ilvl w:val="0"/>
          <w:numId w:val="1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Para los años 1993,1997 los datos son no aceptables.</w:t>
      </w:r>
    </w:p>
    <w:p w:rsidR="00000000" w:rsidRDefault="001D1D1C" w:rsidP="001D1D1C">
      <w:pPr>
        <w:numPr>
          <w:ilvl w:val="0"/>
          <w:numId w:val="1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Para los años 1993, 1995, 1996, 1998 la información se encuentra sesgada hacia la izquierda.</w:t>
      </w:r>
    </w:p>
    <w:p w:rsidR="00000000" w:rsidRDefault="001D1D1C" w:rsidP="001D1D1C">
      <w:pPr>
        <w:numPr>
          <w:ilvl w:val="0"/>
          <w:numId w:val="1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La curtosis nos indica:  que p</w:t>
      </w:r>
      <w:r>
        <w:rPr>
          <w:rFonts w:ascii="Times New Roman" w:hAnsi="Times New Roman"/>
          <w:vertAlign w:val="baseline"/>
        </w:rPr>
        <w:t>ara el año 1993 existe una acumulación de la información.  Para el año 1993, hay evidencia estadística de utilizar la mediana como estimador en vez de la media.</w:t>
      </w: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lastRenderedPageBreak/>
        <w:t>Diagrama de Caja de la Variable Total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032000"/>
                  <wp:effectExtent l="19050" t="0" r="635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00000" w:rsidRDefault="001D1D1C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vertAlign w:val="baseline"/>
              </w:rPr>
              <w:t>En el gráfico de diagrama de Caja, nos indic</w:t>
            </w:r>
            <w:r>
              <w:rPr>
                <w:rFonts w:ascii="Times New Roman" w:hAnsi="Times New Roman"/>
                <w:vertAlign w:val="baseline"/>
              </w:rPr>
              <w:t>a lo siguiente:</w:t>
            </w:r>
          </w:p>
          <w:p w:rsidR="00000000" w:rsidRDefault="001D1D1C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vertAlign w:val="baseline"/>
              </w:rPr>
              <w:t>La mediana nos indica como ha afectado las correcciones al programa de control de la TB con el transcurso del tiempo y podemos ver la existencia de valores extremos para los años 1993, 1998.  Además, se puede observar de manera global la ca</w:t>
            </w:r>
            <w:r>
              <w:rPr>
                <w:rFonts w:ascii="Times New Roman" w:hAnsi="Times New Roman"/>
                <w:vertAlign w:val="baseline"/>
              </w:rPr>
              <w:t>ntidad total de pacientes han sido atendidos por todos los lugares, con sospechas de tuberculosis.</w:t>
            </w:r>
          </w:p>
          <w:p w:rsidR="00000000" w:rsidRDefault="001D1D1C">
            <w:pPr>
              <w:rPr>
                <w:rFonts w:ascii="Times New Roman" w:hAnsi="Times New Roman"/>
                <w:vertAlign w:val="baseline"/>
              </w:rPr>
            </w:pP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spacing w:line="480" w:lineRule="auto"/>
        <w:rPr>
          <w:snapToGrid w:val="0"/>
          <w:color w:val="000000"/>
          <w:vertAlign w:val="baseline"/>
        </w:rPr>
      </w:pPr>
      <w:r>
        <w:rPr>
          <w:snapToGrid w:val="0"/>
          <w:color w:val="000000"/>
          <w:vertAlign w:val="baseline"/>
        </w:rPr>
        <w:t>Variable:  Pulmonar</w:t>
      </w: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Estadística Básicas de la Variable Pulmonar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</w:tblGrid>
      <w:tr w:rsidR="00924336" w:rsidTr="0092433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8" w:type="dxa"/>
            <w:gridSpan w:val="2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Estadístico</w:t>
            </w:r>
          </w:p>
        </w:tc>
        <w:tc>
          <w:tcPr>
            <w:tcW w:w="851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Año</w:t>
            </w:r>
          </w:p>
        </w:tc>
        <w:tc>
          <w:tcPr>
            <w:tcW w:w="709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8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8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9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08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Media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83.58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104.58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74</w:t>
            </w:r>
            <w:r>
              <w:rPr>
                <w:rFonts w:ascii="Times New Roman" w:hAnsi="Times New Roman"/>
                <w:sz w:val="20"/>
                <w:vertAlign w:val="baseline"/>
              </w:rPr>
              <w:t>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85.08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72.67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90.42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116.75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139.38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 xml:space="preserve">Intervalo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L. I.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67.46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91.22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50.04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69.31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51.63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71.25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99.55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100.16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De confianza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L. S.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99.70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117.95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97.96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100.86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93.70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109.58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133.95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178.59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Mediana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104.5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80.5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88.5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115.50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129.50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Varianza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643.72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442.45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1,422.</w:t>
            </w:r>
            <w:r>
              <w:rPr>
                <w:rFonts w:ascii="Times New Roman" w:hAnsi="Times New Roman"/>
                <w:sz w:val="20"/>
                <w:vertAlign w:val="baselin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616.63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1,095.8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910.08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732.75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2,200.5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Desviación Típica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25.37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21.03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37.71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24.83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33.10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30.17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27.07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46.91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Amp. Intercuartil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28.25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36.75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40.25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48.5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50.75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89.75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Asimetría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0.85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-0.41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0.86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Curtosis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1.07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1.49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</w:t>
            </w:r>
            <w:r>
              <w:rPr>
                <w:rFonts w:ascii="Times New Roman" w:hAnsi="Times New Roman"/>
                <w:sz w:val="20"/>
                <w:vertAlign w:val="baseline"/>
              </w:rPr>
              <w:t>.55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-0.72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-1.37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-1.98</w:t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Histogramas de Frecuencias de la Variable Pulmonar para los años: 1993, 1994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1"/>
        <w:gridCol w:w="41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235200"/>
                  <wp:effectExtent l="19050" t="0" r="635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23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235200"/>
                  <wp:effectExtent l="19050" t="0" r="635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23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r>
        <w:rPr>
          <w:rFonts w:ascii="Times New Roman" w:hAnsi="Times New Roman"/>
          <w:vertAlign w:val="baseline"/>
        </w:rPr>
        <w:lastRenderedPageBreak/>
        <w:t>Histogramas de Frecuencias de la Variable Pulmonar para los años: 1995, 1996, 1997, 1998, 1999, 2000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1"/>
        <w:gridCol w:w="41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311400"/>
                  <wp:effectExtent l="19050" t="0" r="635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311400"/>
                  <wp:effectExtent l="19050" t="0" r="635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667000" cy="2311400"/>
                  <wp:effectExtent l="1905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298700"/>
                  <wp:effectExtent l="19050" t="0" r="635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29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184400"/>
                  <wp:effectExtent l="19050" t="0" r="635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667000" cy="2197100"/>
                  <wp:effectExtent l="1905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En este cuadro y gráfico</w:t>
      </w:r>
      <w:r>
        <w:rPr>
          <w:rFonts w:ascii="Times New Roman" w:hAnsi="Times New Roman"/>
          <w:vertAlign w:val="baseline"/>
        </w:rPr>
        <w:t>s, podemos observar lo siguiente:</w:t>
      </w: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 w:rsidP="001D1D1C">
      <w:pPr>
        <w:numPr>
          <w:ilvl w:val="0"/>
          <w:numId w:val="2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Existe demasiada dispersión de la información en cada año.</w:t>
      </w:r>
    </w:p>
    <w:p w:rsidR="00000000" w:rsidRDefault="001D1D1C" w:rsidP="001D1D1C">
      <w:pPr>
        <w:numPr>
          <w:ilvl w:val="0"/>
          <w:numId w:val="2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Para los años 1995, 1997, los datos son no aceptables.</w:t>
      </w:r>
    </w:p>
    <w:p w:rsidR="00000000" w:rsidRDefault="001D1D1C" w:rsidP="001D1D1C">
      <w:pPr>
        <w:numPr>
          <w:ilvl w:val="0"/>
          <w:numId w:val="2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Para el 1993 la información se encuentra sesgada hacia la izquierda y para el año 1994 se encuentra sesgada</w:t>
      </w:r>
      <w:r>
        <w:rPr>
          <w:rFonts w:ascii="Times New Roman" w:hAnsi="Times New Roman"/>
          <w:vertAlign w:val="baseline"/>
        </w:rPr>
        <w:t xml:space="preserve"> hacia la derecha.</w:t>
      </w:r>
    </w:p>
    <w:p w:rsidR="00000000" w:rsidRDefault="001D1D1C" w:rsidP="001D1D1C">
      <w:pPr>
        <w:numPr>
          <w:ilvl w:val="0"/>
          <w:numId w:val="2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La curtosis nos indica:  que para los años 1993, 1994, 1997 existe una acumulación de la información y para los años 1999, 2000 existe una expansión de la información.  </w:t>
      </w: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Diagrama de Caja para la Variable Pulmonar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578100" cy="2133600"/>
                  <wp:effectExtent l="1905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00000" w:rsidRDefault="001D1D1C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vertAlign w:val="baseline"/>
              </w:rPr>
              <w:t>En el gráfico de diag</w:t>
            </w:r>
            <w:r>
              <w:rPr>
                <w:rFonts w:ascii="Times New Roman" w:hAnsi="Times New Roman"/>
                <w:vertAlign w:val="baseline"/>
              </w:rPr>
              <w:t xml:space="preserve">rama de Caja, nos indica lo siguiente:  </w:t>
            </w:r>
          </w:p>
          <w:p w:rsidR="00000000" w:rsidRDefault="001D1D1C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vertAlign w:val="baseline"/>
              </w:rPr>
              <w:t>La mediana nos indica como ha afectado las correcciones al programa de control de la TB con el transcurso del tiempo y podemos ver la existencia de valores extremos para el año 1994.  Además, se puede observar de ma</w:t>
            </w:r>
            <w:r>
              <w:rPr>
                <w:rFonts w:ascii="Times New Roman" w:hAnsi="Times New Roman"/>
                <w:vertAlign w:val="baseline"/>
              </w:rPr>
              <w:t>nera global la cantidad total de enfermos pulmonares y está tendencia nos indica mucha fluctuación  en el tiempo, a pesar que en los últimos años existe una tendencia creciente.</w:t>
            </w:r>
          </w:p>
          <w:p w:rsidR="00000000" w:rsidRDefault="001D1D1C">
            <w:pPr>
              <w:rPr>
                <w:rFonts w:ascii="Times New Roman" w:hAnsi="Times New Roman"/>
                <w:vertAlign w:val="baseline"/>
              </w:rPr>
            </w:pP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Variable:  Extrapulmonar</w:t>
      </w: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Estadísticas Básicas de la Variable Extrapulmonar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"/>
        <w:gridCol w:w="1305"/>
        <w:gridCol w:w="567"/>
        <w:gridCol w:w="851"/>
        <w:gridCol w:w="708"/>
        <w:gridCol w:w="851"/>
        <w:gridCol w:w="757"/>
        <w:gridCol w:w="917"/>
        <w:gridCol w:w="869"/>
        <w:gridCol w:w="849"/>
        <w:gridCol w:w="8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hMerge w:val="restart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Estadístico</w:t>
            </w:r>
          </w:p>
        </w:tc>
        <w:tc>
          <w:tcPr>
            <w:gridSpan w:val="2"/>
            <w:hMerge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Año</w:t>
            </w:r>
          </w:p>
        </w:tc>
        <w:tc>
          <w:tcPr>
            <w:tcW w:w="708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757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917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69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49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83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567" w:type="dxa"/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1999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Media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4.33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2.83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4.67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7.67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Intervalo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L. I.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2.58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2.42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1.94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1.87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1.21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2.90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5.33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de confianza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L. S.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6.75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7.74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6.73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6.13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4.46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6.43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10.00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Mediana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</w:t>
            </w:r>
            <w:r>
              <w:rPr>
                <w:rFonts w:ascii="Times New Roman" w:hAnsi="Times New Roman"/>
                <w:sz w:val="20"/>
                <w:vertAlign w:val="baseline"/>
              </w:rPr>
              <w:t>.5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7.50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Varianza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10.79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17.54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14.24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11.27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6.52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7.70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13.52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21.41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Desviación Típica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3.28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3.77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3.36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2.55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2.77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3.68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A. Intercuartil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4.75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5.75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4.75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4.5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5.75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8.75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  <w:tcBorders>
              <w:lef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Asimetría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0.48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1.64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0.66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1.07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1.56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-0.01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0.00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0.18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Curtosis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-0.30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3.8</w:t>
            </w:r>
            <w:r>
              <w:rPr>
                <w:rFonts w:ascii="Times New Roman" w:hAnsi="Times New Roman"/>
                <w:sz w:val="20"/>
                <w:vertAlign w:val="baseline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-0.40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-0.40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2.12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-0.65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-0.26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D1C">
            <w:pPr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-1.10</w:t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Histogramas de Frecuencias de la Variable Extrapulmonar para los años:  1993, 1994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1"/>
        <w:gridCol w:w="41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895600" cy="2209800"/>
                  <wp:effectExtent l="1905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857500" cy="2222500"/>
                  <wp:effectExtent l="1905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Histogramas de Frecuencias de la Variable Extrapulmonar para los años:  1995, 1996, 1997, 1998, 1999, 2000</w:t>
      </w:r>
    </w:p>
    <w:p w:rsidR="00000000" w:rsidRDefault="001D1D1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1"/>
        <w:gridCol w:w="41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30500" cy="2095500"/>
                  <wp:effectExtent l="1905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43200" cy="2082800"/>
                  <wp:effectExtent l="1905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81300" cy="2209800"/>
                  <wp:effectExtent l="1905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43200" cy="2209800"/>
                  <wp:effectExtent l="1905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81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30500" cy="2209800"/>
                  <wp:effectExtent l="1905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17800" cy="2209800"/>
                  <wp:effectExtent l="19050" t="0" r="635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En </w:t>
      </w:r>
      <w:r>
        <w:rPr>
          <w:rFonts w:ascii="Times New Roman" w:hAnsi="Times New Roman"/>
          <w:vertAlign w:val="baseline"/>
        </w:rPr>
        <w:t>este cuadro y gráficos, podemos observar lo siguiente:</w:t>
      </w: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 w:rsidP="001D1D1C">
      <w:pPr>
        <w:numPr>
          <w:ilvl w:val="0"/>
          <w:numId w:val="3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Existe demasiada dispersión de la información para todos los años.</w:t>
      </w:r>
    </w:p>
    <w:p w:rsidR="00000000" w:rsidRDefault="001D1D1C" w:rsidP="001D1D1C">
      <w:pPr>
        <w:numPr>
          <w:ilvl w:val="0"/>
          <w:numId w:val="3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Para todos los años los datos son no aceptables.</w:t>
      </w:r>
    </w:p>
    <w:p w:rsidR="00000000" w:rsidRDefault="001D1D1C" w:rsidP="001D1D1C">
      <w:pPr>
        <w:numPr>
          <w:ilvl w:val="0"/>
          <w:numId w:val="3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Para los años  1994, 1996 y 1997 los datos se encuentran sesgados hacia la derecha.</w:t>
      </w:r>
    </w:p>
    <w:p w:rsidR="00000000" w:rsidRDefault="001D1D1C" w:rsidP="001D1D1C">
      <w:pPr>
        <w:numPr>
          <w:ilvl w:val="0"/>
          <w:numId w:val="3"/>
        </w:num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La curtosis nos indica:  que para los años 1994, 1997 existe una acumulación de la información y para el año 2000 existe una expansión de la información.  Para el año 1994 y 1997, hay evidencia estadística de utilizar la mediana como estimador en vez de la</w:t>
      </w:r>
      <w:r>
        <w:rPr>
          <w:rFonts w:ascii="Times New Roman" w:hAnsi="Times New Roman"/>
          <w:vertAlign w:val="baseline"/>
        </w:rPr>
        <w:t xml:space="preserve"> media.</w:t>
      </w: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Diagrama de Caja de la Variable Extrapulmonar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00000" w:rsidRDefault="00924336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noProof/>
                <w:vertAlign w:val="baseline"/>
              </w:rPr>
              <w:drawing>
                <wp:inline distT="0" distB="0" distL="0" distR="0">
                  <wp:extent cx="2755900" cy="2286000"/>
                  <wp:effectExtent l="19050" t="0" r="635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00000" w:rsidRDefault="001D1D1C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vertAlign w:val="baseline"/>
              </w:rPr>
              <w:t xml:space="preserve">En el gráfico de diagrama de Caja, nos indica lo siguiente:  </w:t>
            </w:r>
          </w:p>
          <w:p w:rsidR="00000000" w:rsidRDefault="001D1D1C">
            <w:pPr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vertAlign w:val="baseline"/>
              </w:rPr>
              <w:t>La mediana nos indica como ha afectado las correcciones al programa de control de la TB con el transcurso del tiempo y podemos ver la exi</w:t>
            </w:r>
            <w:r>
              <w:rPr>
                <w:rFonts w:ascii="Times New Roman" w:hAnsi="Times New Roman"/>
                <w:vertAlign w:val="baseline"/>
              </w:rPr>
              <w:t xml:space="preserve">stencia de valores extremos para los años 1994, 1997.    Además, se puede observar de manera global la cantidad total de enfermos extrapulmonares.   </w:t>
            </w:r>
          </w:p>
          <w:p w:rsidR="00000000" w:rsidRDefault="001D1D1C">
            <w:pPr>
              <w:rPr>
                <w:rFonts w:ascii="Times New Roman" w:hAnsi="Times New Roman"/>
                <w:vertAlign w:val="baseline"/>
              </w:rPr>
            </w:pP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5. Análisis de los datos por medio de gráficos</w:t>
      </w: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jc w:val="both"/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5.1 Introducción</w:t>
      </w: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Est</w:t>
      </w:r>
      <w:r>
        <w:rPr>
          <w:rFonts w:ascii="Times New Roman" w:hAnsi="Times New Roman"/>
          <w:vertAlign w:val="baseline"/>
        </w:rPr>
        <w:t>a</w:t>
      </w:r>
      <w:r>
        <w:rPr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  <w:vertAlign w:val="baseline"/>
        </w:rPr>
        <w:t>secci</w:t>
      </w:r>
      <w:r>
        <w:rPr>
          <w:rFonts w:ascii="Times New Roman" w:hAnsi="Times New Roman"/>
          <w:vertAlign w:val="baseline"/>
        </w:rPr>
        <w:t>ón</w:t>
      </w:r>
      <w:r>
        <w:rPr>
          <w:rFonts w:ascii="Times New Roman" w:hAnsi="Times New Roman"/>
          <w:vertAlign w:val="baseline"/>
        </w:rPr>
        <w:t xml:space="preserve"> esta conformado </w:t>
      </w:r>
      <w:r>
        <w:rPr>
          <w:rFonts w:ascii="Times New Roman" w:hAnsi="Times New Roman"/>
          <w:vertAlign w:val="baseline"/>
        </w:rPr>
        <w:t>en</w:t>
      </w:r>
      <w:r>
        <w:rPr>
          <w:rFonts w:ascii="Times New Roman" w:hAnsi="Times New Roman"/>
          <w:vertAlign w:val="baseline"/>
        </w:rPr>
        <w:t xml:space="preserve"> 2</w:t>
      </w:r>
      <w:r>
        <w:rPr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  <w:vertAlign w:val="baseline"/>
        </w:rPr>
        <w:t>puntos</w:t>
      </w:r>
      <w:r>
        <w:rPr>
          <w:rFonts w:ascii="Times New Roman" w:hAnsi="Times New Roman"/>
          <w:vertAlign w:val="baseline"/>
        </w:rPr>
        <w:t xml:space="preserve">.  </w:t>
      </w:r>
      <w:r>
        <w:rPr>
          <w:rFonts w:ascii="Times New Roman" w:hAnsi="Times New Roman"/>
          <w:vertAlign w:val="baseline"/>
        </w:rPr>
        <w:t>El</w:t>
      </w:r>
      <w:r>
        <w:rPr>
          <w:rFonts w:ascii="Times New Roman" w:hAnsi="Times New Roman"/>
          <w:vertAlign w:val="baseline"/>
        </w:rPr>
        <w:t xml:space="preserve"> primer</w:t>
      </w:r>
      <w:r>
        <w:rPr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  <w:vertAlign w:val="baseline"/>
        </w:rPr>
        <w:t>punto</w:t>
      </w:r>
      <w:r>
        <w:rPr>
          <w:rFonts w:ascii="Times New Roman" w:hAnsi="Times New Roman"/>
          <w:vertAlign w:val="baseline"/>
        </w:rPr>
        <w:t xml:space="preserve"> abarca los gráficos de distribución porcentual anual de pacientes analizados: Centro de Salud, Hospital, Particular.  </w:t>
      </w:r>
      <w:r>
        <w:rPr>
          <w:rFonts w:ascii="Times New Roman" w:hAnsi="Times New Roman"/>
          <w:vertAlign w:val="baseline"/>
        </w:rPr>
        <w:t>El</w:t>
      </w:r>
      <w:r>
        <w:rPr>
          <w:rFonts w:ascii="Times New Roman" w:hAnsi="Times New Roman"/>
          <w:vertAlign w:val="baseline"/>
        </w:rPr>
        <w:t xml:space="preserve"> segund</w:t>
      </w:r>
      <w:r>
        <w:rPr>
          <w:rFonts w:ascii="Times New Roman" w:hAnsi="Times New Roman"/>
          <w:vertAlign w:val="baseline"/>
        </w:rPr>
        <w:t>o</w:t>
      </w:r>
      <w:r>
        <w:rPr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  <w:vertAlign w:val="baseline"/>
        </w:rPr>
        <w:t>punto</w:t>
      </w:r>
      <w:r>
        <w:rPr>
          <w:rFonts w:ascii="Times New Roman" w:hAnsi="Times New Roman"/>
          <w:vertAlign w:val="baseline"/>
        </w:rPr>
        <w:t xml:space="preserve"> concierne a los gráficos de secuencia.</w:t>
      </w: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5.2     Distribución Porcentual anual de pacien</w:t>
      </w:r>
      <w:r>
        <w:rPr>
          <w:rFonts w:ascii="Times New Roman" w:hAnsi="Times New Roman"/>
          <w:vertAlign w:val="baseline"/>
        </w:rPr>
        <w:t>tes analizados:  Centro de Salud, Hospital, Particular</w:t>
      </w: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</w:p>
    <w:p w:rsidR="00000000" w:rsidRDefault="001D1D1C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Los gráficos de distribución porcentual anual de pacientes analizados, nos permitirán tener una idea de cual fue la participación de ellos en cada uno de los centros de atención:  Centro de Salud, Hos</w:t>
      </w:r>
      <w:r>
        <w:rPr>
          <w:rFonts w:ascii="Times New Roman" w:hAnsi="Times New Roman"/>
          <w:vertAlign w:val="baseline"/>
        </w:rPr>
        <w:t>pital y Particular.  Estos gráficos nos servirán para conocer como los diversos centros de atención han aportado en brindar sus servicios a la comunidad en la aplicación del tratamiento del programa de tuberculosis.</w:t>
      </w:r>
    </w:p>
    <w:p w:rsidR="00000000" w:rsidRDefault="001D1D1C">
      <w:pPr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</w:p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Distribución Porcentual de los Años:  </w:t>
      </w:r>
      <w:r>
        <w:rPr>
          <w:rFonts w:ascii="Times New Roman" w:hAnsi="Times New Roman"/>
          <w:vertAlign w:val="baseline"/>
        </w:rPr>
        <w:t>1993, 1994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00000" w:rsidRDefault="00924336">
            <w:pPr>
              <w:spacing w:line="480" w:lineRule="auto"/>
              <w:rPr>
                <w:vertAlign w:val="baseline"/>
              </w:rPr>
            </w:pPr>
            <w:r>
              <w:rPr>
                <w:noProof/>
                <w:vertAlign w:val="baseline"/>
              </w:rPr>
              <w:drawing>
                <wp:inline distT="0" distB="0" distL="0" distR="0">
                  <wp:extent cx="2768600" cy="2565400"/>
                  <wp:effectExtent l="1905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00000" w:rsidRDefault="00924336">
            <w:pPr>
              <w:spacing w:line="480" w:lineRule="auto"/>
              <w:rPr>
                <w:vertAlign w:val="baseline"/>
              </w:rPr>
            </w:pPr>
            <w:r>
              <w:rPr>
                <w:noProof/>
                <w:vertAlign w:val="baseline"/>
              </w:rPr>
              <w:drawing>
                <wp:inline distT="0" distB="0" distL="0" distR="0">
                  <wp:extent cx="2768600" cy="2565400"/>
                  <wp:effectExtent l="1905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D1D1C">
      <w:pPr>
        <w:rPr>
          <w:rFonts w:ascii="Times New Roman" w:hAnsi="Times New Roman"/>
          <w:vertAlign w:val="baseline"/>
        </w:rPr>
      </w:pPr>
    </w:p>
    <w:p w:rsidR="00000000" w:rsidRDefault="001D1D1C">
      <w:pPr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Distribución Porcentual de los Años: 1995, 1996, 1997, 1998, 1999, 2000</w:t>
      </w:r>
    </w:p>
    <w:p w:rsidR="00000000" w:rsidRDefault="001D1D1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00000" w:rsidRDefault="00924336">
            <w:pPr>
              <w:spacing w:line="480" w:lineRule="auto"/>
              <w:rPr>
                <w:vertAlign w:val="baseline"/>
              </w:rPr>
            </w:pPr>
            <w:r>
              <w:rPr>
                <w:noProof/>
                <w:vertAlign w:val="baseline"/>
              </w:rPr>
              <w:drawing>
                <wp:inline distT="0" distB="0" distL="0" distR="0">
                  <wp:extent cx="2768600" cy="2565400"/>
                  <wp:effectExtent l="1905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00000" w:rsidRDefault="00924336">
            <w:pPr>
              <w:spacing w:line="480" w:lineRule="auto"/>
              <w:rPr>
                <w:vertAlign w:val="baseline"/>
              </w:rPr>
            </w:pPr>
            <w:r>
              <w:rPr>
                <w:noProof/>
                <w:vertAlign w:val="baseline"/>
              </w:rPr>
              <w:drawing>
                <wp:inline distT="0" distB="0" distL="0" distR="0">
                  <wp:extent cx="2768600" cy="2565400"/>
                  <wp:effectExtent l="1905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00000" w:rsidRDefault="00924336">
            <w:pPr>
              <w:spacing w:line="480" w:lineRule="auto"/>
              <w:rPr>
                <w:vertAlign w:val="baseline"/>
              </w:rPr>
            </w:pPr>
            <w:r>
              <w:rPr>
                <w:noProof/>
                <w:vertAlign w:val="baseline"/>
              </w:rPr>
              <w:drawing>
                <wp:inline distT="0" distB="0" distL="0" distR="0">
                  <wp:extent cx="2768600" cy="2565400"/>
                  <wp:effectExtent l="1905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00000" w:rsidRDefault="00924336">
            <w:pPr>
              <w:spacing w:line="480" w:lineRule="auto"/>
              <w:rPr>
                <w:vertAlign w:val="baseline"/>
              </w:rPr>
            </w:pPr>
            <w:r>
              <w:rPr>
                <w:noProof/>
                <w:vertAlign w:val="baseline"/>
              </w:rPr>
              <w:drawing>
                <wp:inline distT="0" distB="0" distL="0" distR="0">
                  <wp:extent cx="2768600" cy="2565400"/>
                  <wp:effectExtent l="1905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00000" w:rsidRDefault="00924336">
            <w:pPr>
              <w:spacing w:line="480" w:lineRule="auto"/>
              <w:rPr>
                <w:vertAlign w:val="baseline"/>
              </w:rPr>
            </w:pPr>
            <w:r>
              <w:rPr>
                <w:noProof/>
                <w:vertAlign w:val="baseline"/>
              </w:rPr>
              <w:drawing>
                <wp:inline distT="0" distB="0" distL="0" distR="0">
                  <wp:extent cx="2768600" cy="2565400"/>
                  <wp:effectExtent l="1905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00000" w:rsidRDefault="00924336">
            <w:pPr>
              <w:spacing w:line="480" w:lineRule="auto"/>
              <w:rPr>
                <w:vertAlign w:val="baseline"/>
              </w:rPr>
            </w:pPr>
            <w:r>
              <w:rPr>
                <w:noProof/>
                <w:vertAlign w:val="baseline"/>
              </w:rPr>
              <w:drawing>
                <wp:inline distT="0" distB="0" distL="0" distR="0">
                  <wp:extent cx="2667000" cy="2565400"/>
                  <wp:effectExtent l="1905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D1D1C">
      <w:pPr>
        <w:spacing w:line="480" w:lineRule="auto"/>
        <w:jc w:val="both"/>
        <w:rPr>
          <w:vertAlign w:val="baseline"/>
        </w:rPr>
      </w:pPr>
    </w:p>
    <w:p w:rsidR="00000000" w:rsidRDefault="001D1D1C">
      <w:pPr>
        <w:jc w:val="both"/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1D1D1C" w:rsidRDefault="001D1D1C"/>
    <w:sectPr w:rsidR="001D1D1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1C" w:rsidRDefault="001D1D1C">
      <w:r>
        <w:separator/>
      </w:r>
    </w:p>
  </w:endnote>
  <w:endnote w:type="continuationSeparator" w:id="1">
    <w:p w:rsidR="001D1D1C" w:rsidRDefault="001D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1C" w:rsidRDefault="001D1D1C">
      <w:r>
        <w:separator/>
      </w:r>
    </w:p>
  </w:footnote>
  <w:footnote w:type="continuationSeparator" w:id="1">
    <w:p w:rsidR="001D1D1C" w:rsidRDefault="001D1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579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091C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3CA507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336"/>
    <w:rsid w:val="001D1D1C"/>
    <w:rsid w:val="0092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vertAlign w:val="subscript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Baquero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Eduardo</dc:creator>
  <cp:keywords/>
  <cp:lastModifiedBy>Ayudante</cp:lastModifiedBy>
  <cp:revision>2</cp:revision>
  <dcterms:created xsi:type="dcterms:W3CDTF">2009-07-02T14:26:00Z</dcterms:created>
  <dcterms:modified xsi:type="dcterms:W3CDTF">2009-07-02T14:26:00Z</dcterms:modified>
</cp:coreProperties>
</file>