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C1" w:rsidRDefault="00140FE4" w:rsidP="00140FE4">
      <w:pPr>
        <w:spacing w:line="480" w:lineRule="auto"/>
        <w:jc w:val="center"/>
        <w:rPr>
          <w:rFonts w:ascii="Arial" w:hAnsi="Arial" w:cs="Arial"/>
          <w:b/>
          <w:sz w:val="52"/>
          <w:szCs w:val="52"/>
        </w:rPr>
      </w:pPr>
      <w:r>
        <w:rPr>
          <w:rFonts w:ascii="Arial" w:hAnsi="Arial" w:cs="Arial"/>
          <w:b/>
          <w:sz w:val="52"/>
          <w:szCs w:val="52"/>
        </w:rPr>
        <w:t>CONCLUSIONES</w:t>
      </w:r>
    </w:p>
    <w:p w:rsidR="00140FE4" w:rsidRDefault="00140FE4" w:rsidP="00140FE4">
      <w:pPr>
        <w:spacing w:line="480" w:lineRule="auto"/>
        <w:jc w:val="both"/>
        <w:rPr>
          <w:rFonts w:ascii="Arial" w:hAnsi="Arial" w:cs="Arial"/>
        </w:rPr>
      </w:pPr>
    </w:p>
    <w:p w:rsidR="007E0F1F" w:rsidRDefault="00040C08"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En el </w:t>
      </w:r>
      <w:r w:rsidRPr="00040C08">
        <w:rPr>
          <w:rFonts w:ascii="Arial" w:hAnsi="Arial" w:cs="Arial"/>
        </w:rPr>
        <w:t>Hospital de División Regional de la Segunda Zona Militar</w:t>
      </w:r>
      <w:r>
        <w:rPr>
          <w:rFonts w:ascii="Arial" w:hAnsi="Arial" w:cs="Arial"/>
        </w:rPr>
        <w:t>, desde el 1 de enero del 200</w:t>
      </w:r>
      <w:r w:rsidR="00BF181E">
        <w:rPr>
          <w:rFonts w:ascii="Arial" w:hAnsi="Arial" w:cs="Arial"/>
        </w:rPr>
        <w:t>0</w:t>
      </w:r>
      <w:r>
        <w:rPr>
          <w:rFonts w:ascii="Arial" w:hAnsi="Arial" w:cs="Arial"/>
        </w:rPr>
        <w:t xml:space="preserve"> hasta el 30 de Junio del 2004, se diagnosticaron 110 casos nuevos  de Tuberculosis </w:t>
      </w:r>
      <w:r w:rsidR="007E0F1F">
        <w:rPr>
          <w:rFonts w:ascii="Arial" w:hAnsi="Arial" w:cs="Arial"/>
        </w:rPr>
        <w:t>Pulmo</w:t>
      </w:r>
      <w:r>
        <w:rPr>
          <w:rFonts w:ascii="Arial" w:hAnsi="Arial" w:cs="Arial"/>
        </w:rPr>
        <w:t>nar.</w:t>
      </w:r>
    </w:p>
    <w:p w:rsidR="007E0F1F" w:rsidRDefault="007E0F1F" w:rsidP="00635761">
      <w:pPr>
        <w:tabs>
          <w:tab w:val="num" w:pos="0"/>
        </w:tabs>
        <w:spacing w:line="480" w:lineRule="auto"/>
        <w:jc w:val="both"/>
        <w:rPr>
          <w:rFonts w:ascii="Arial" w:hAnsi="Arial" w:cs="Arial"/>
        </w:rPr>
      </w:pPr>
    </w:p>
    <w:p w:rsidR="007E0F1F" w:rsidRDefault="007E0F1F"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El 55% de los 110 pacientes son de género masculino, el restante 45% corresponde a pacientes del sexo femenino.   El 68% de la población tiene la cobertura por seguro médico militar y el 32% corresponde a los individuos sin la protección del seguro.</w:t>
      </w:r>
    </w:p>
    <w:p w:rsidR="007E0F1F" w:rsidRDefault="007E0F1F" w:rsidP="00635761">
      <w:pPr>
        <w:tabs>
          <w:tab w:val="num" w:pos="0"/>
        </w:tabs>
        <w:spacing w:line="480" w:lineRule="auto"/>
        <w:jc w:val="both"/>
        <w:rPr>
          <w:rFonts w:ascii="Arial" w:hAnsi="Arial" w:cs="Arial"/>
        </w:rPr>
      </w:pPr>
    </w:p>
    <w:p w:rsidR="00DE56F9" w:rsidRDefault="00DE56F9" w:rsidP="001D3306">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La edad promedio del paciente fue de 42.65 años.  Se observó que un 43,7% estuvo por encima del promedio. </w:t>
      </w:r>
    </w:p>
    <w:p w:rsidR="00DE56F9" w:rsidRDefault="00DE56F9" w:rsidP="00DE56F9">
      <w:pPr>
        <w:spacing w:line="480" w:lineRule="auto"/>
        <w:jc w:val="both"/>
        <w:rPr>
          <w:rFonts w:ascii="Arial" w:hAnsi="Arial" w:cs="Arial"/>
        </w:rPr>
      </w:pPr>
    </w:p>
    <w:p w:rsidR="007E0F1F" w:rsidRDefault="007E0F1F" w:rsidP="001D3306">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El hospital ha tenido el siguiente alcance en cuanto al área de residencia del paciente:</w:t>
      </w:r>
      <w:r w:rsidR="00D33B35">
        <w:rPr>
          <w:rFonts w:ascii="Arial" w:hAnsi="Arial" w:cs="Arial"/>
        </w:rPr>
        <w:t xml:space="preserve"> 61% para los habitantes de zonas urbanas y 39% para los de zona rural.</w:t>
      </w:r>
      <w:r w:rsidR="001D3306">
        <w:rPr>
          <w:rFonts w:ascii="Arial" w:hAnsi="Arial" w:cs="Arial"/>
        </w:rPr>
        <w:t xml:space="preserve"> En lo que concierne al nivel socio-económico: Bajo (39%), Medio (59%) y Alto (2%).</w:t>
      </w:r>
    </w:p>
    <w:p w:rsidR="00635761" w:rsidRDefault="00635761" w:rsidP="00635761">
      <w:pPr>
        <w:spacing w:line="480" w:lineRule="auto"/>
        <w:jc w:val="both"/>
        <w:rPr>
          <w:rFonts w:ascii="Arial" w:hAnsi="Arial" w:cs="Arial"/>
        </w:rPr>
      </w:pPr>
    </w:p>
    <w:p w:rsidR="001D3306" w:rsidRDefault="00635761" w:rsidP="00C51B7C">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En cuanto al nivel de instrucción de los pacientes tenemos: Primaria (20%), Secundaria</w:t>
      </w:r>
      <w:r w:rsidR="001D3306">
        <w:rPr>
          <w:rFonts w:ascii="Arial" w:hAnsi="Arial" w:cs="Arial"/>
        </w:rPr>
        <w:t xml:space="preserve"> </w:t>
      </w:r>
      <w:r>
        <w:rPr>
          <w:rFonts w:ascii="Arial" w:hAnsi="Arial" w:cs="Arial"/>
        </w:rPr>
        <w:t>(71%) y Superior (9%).</w:t>
      </w:r>
      <w:r w:rsidR="001D3306">
        <w:rPr>
          <w:rFonts w:ascii="Arial" w:hAnsi="Arial" w:cs="Arial"/>
        </w:rPr>
        <w:t xml:space="preserve"> </w:t>
      </w:r>
    </w:p>
    <w:p w:rsidR="001D3306" w:rsidRDefault="001D3306"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lastRenderedPageBreak/>
        <w:t>En lo que corresponde al índice de masa corporal se observó que un 40% reportó desnutrición, 45% un  peso normal, 6% sobrepeso y un 9%</w:t>
      </w:r>
      <w:r w:rsidR="001079DC">
        <w:rPr>
          <w:rFonts w:ascii="Arial" w:hAnsi="Arial" w:cs="Arial"/>
        </w:rPr>
        <w:t xml:space="preserve"> registró obesidad.</w:t>
      </w:r>
      <w:r>
        <w:rPr>
          <w:rFonts w:ascii="Arial" w:hAnsi="Arial" w:cs="Arial"/>
        </w:rPr>
        <w:t xml:space="preserve"> </w:t>
      </w:r>
    </w:p>
    <w:p w:rsidR="001079DC" w:rsidRDefault="001079DC" w:rsidP="001079DC">
      <w:pPr>
        <w:spacing w:line="480" w:lineRule="auto"/>
        <w:jc w:val="both"/>
        <w:rPr>
          <w:rFonts w:ascii="Arial" w:hAnsi="Arial" w:cs="Arial"/>
        </w:rPr>
      </w:pPr>
    </w:p>
    <w:p w:rsidR="001079DC" w:rsidRDefault="001079DC"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El síntoma más frecuente fue la tos, el cual fue reportado po</w:t>
      </w:r>
      <w:r w:rsidR="00676581">
        <w:rPr>
          <w:rFonts w:ascii="Arial" w:hAnsi="Arial" w:cs="Arial"/>
        </w:rPr>
        <w:t>r un 96,4</w:t>
      </w:r>
      <w:r>
        <w:rPr>
          <w:rFonts w:ascii="Arial" w:hAnsi="Arial" w:cs="Arial"/>
        </w:rPr>
        <w:t>% de los pacientes</w:t>
      </w:r>
      <w:r w:rsidR="00676581">
        <w:rPr>
          <w:rFonts w:ascii="Arial" w:hAnsi="Arial" w:cs="Arial"/>
        </w:rPr>
        <w:t>,</w:t>
      </w:r>
      <w:r>
        <w:rPr>
          <w:rFonts w:ascii="Arial" w:hAnsi="Arial" w:cs="Arial"/>
        </w:rPr>
        <w:t xml:space="preserve"> seguido por la expectoración </w:t>
      </w:r>
      <w:r w:rsidR="00676581">
        <w:rPr>
          <w:rFonts w:ascii="Arial" w:hAnsi="Arial" w:cs="Arial"/>
        </w:rPr>
        <w:t>y fiebre representadas con un 74</w:t>
      </w:r>
      <w:r>
        <w:rPr>
          <w:rFonts w:ascii="Arial" w:hAnsi="Arial" w:cs="Arial"/>
        </w:rPr>
        <w:t xml:space="preserve">% y 52%. De los pacientes con tos el </w:t>
      </w:r>
      <w:r w:rsidR="00676581">
        <w:rPr>
          <w:rFonts w:ascii="Arial" w:hAnsi="Arial" w:cs="Arial"/>
        </w:rPr>
        <w:t xml:space="preserve">76.34% también presentó </w:t>
      </w:r>
      <w:r w:rsidR="001C6A26">
        <w:rPr>
          <w:rFonts w:ascii="Arial" w:hAnsi="Arial" w:cs="Arial"/>
        </w:rPr>
        <w:t>un</w:t>
      </w:r>
      <w:r w:rsidR="00676581">
        <w:rPr>
          <w:rFonts w:ascii="Arial" w:hAnsi="Arial" w:cs="Arial"/>
        </w:rPr>
        <w:t xml:space="preserve"> tipo de expectoración.  Además en los pacientes con expectoración el tipo más com</w:t>
      </w:r>
      <w:r w:rsidR="001C6A26">
        <w:rPr>
          <w:rFonts w:ascii="Arial" w:hAnsi="Arial" w:cs="Arial"/>
        </w:rPr>
        <w:t>ún fue la categoría mucopurulenta</w:t>
      </w:r>
      <w:r w:rsidR="00676581">
        <w:rPr>
          <w:rFonts w:ascii="Arial" w:hAnsi="Arial" w:cs="Arial"/>
        </w:rPr>
        <w:t xml:space="preserve"> </w:t>
      </w:r>
      <w:r w:rsidR="001C6A26">
        <w:rPr>
          <w:rFonts w:ascii="Arial" w:hAnsi="Arial" w:cs="Arial"/>
        </w:rPr>
        <w:t>con un 70,27%.</w:t>
      </w:r>
    </w:p>
    <w:p w:rsidR="00B43587" w:rsidRDefault="00B43587" w:rsidP="00B43587">
      <w:pPr>
        <w:spacing w:line="480" w:lineRule="auto"/>
        <w:jc w:val="both"/>
        <w:rPr>
          <w:rFonts w:ascii="Arial" w:hAnsi="Arial" w:cs="Arial"/>
        </w:rPr>
      </w:pPr>
    </w:p>
    <w:p w:rsidR="00B43587" w:rsidRDefault="00FA2624"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El 96,4% de los pacientes tuvo lesiones compatibles con Tuberculosis,</w:t>
      </w:r>
      <w:r w:rsidRPr="00FA2624">
        <w:rPr>
          <w:rFonts w:ascii="Arial" w:hAnsi="Arial" w:cs="Arial"/>
        </w:rPr>
        <w:t xml:space="preserve"> </w:t>
      </w:r>
      <w:r>
        <w:rPr>
          <w:rFonts w:ascii="Arial" w:hAnsi="Arial" w:cs="Arial"/>
        </w:rPr>
        <w:t xml:space="preserve">diagnosticadas por los métodos radiológicos   </w:t>
      </w:r>
      <w:r w:rsidR="00B43587">
        <w:rPr>
          <w:rFonts w:ascii="Arial" w:hAnsi="Arial" w:cs="Arial"/>
        </w:rPr>
        <w:t>En cuanto a</w:t>
      </w:r>
      <w:r>
        <w:rPr>
          <w:rFonts w:ascii="Arial" w:hAnsi="Arial" w:cs="Arial"/>
        </w:rPr>
        <w:t xml:space="preserve"> </w:t>
      </w:r>
      <w:r w:rsidR="00A40302">
        <w:rPr>
          <w:rFonts w:ascii="Arial" w:hAnsi="Arial" w:cs="Arial"/>
        </w:rPr>
        <w:t>la forma</w:t>
      </w:r>
      <w:r w:rsidR="00E56FF6">
        <w:rPr>
          <w:rFonts w:ascii="Arial" w:hAnsi="Arial" w:cs="Arial"/>
        </w:rPr>
        <w:t xml:space="preserve"> de lesión </w:t>
      </w:r>
      <w:r w:rsidR="00B43587">
        <w:rPr>
          <w:rFonts w:ascii="Arial" w:hAnsi="Arial" w:cs="Arial"/>
        </w:rPr>
        <w:t>tenemos: Ninguna (3,6%), Intersticial (67,3%), Condensación (8,2%), Cavitaria (4,5%), Intersticial y Cavitaria (8,2%) e Intersticial y Condensación (8,2%)</w:t>
      </w:r>
      <w:r w:rsidR="00E56FF6">
        <w:rPr>
          <w:rFonts w:ascii="Arial" w:hAnsi="Arial" w:cs="Arial"/>
        </w:rPr>
        <w:t xml:space="preserve">.  En lo que corresponde a la extensión de las lesiones se tiene: Ninguna (3,6%), Unilateral (64,5%) y Bilateral (31,8%). Además de los pacientes con lesiones </w:t>
      </w:r>
      <w:proofErr w:type="spellStart"/>
      <w:r w:rsidR="00E56FF6">
        <w:rPr>
          <w:rFonts w:ascii="Arial" w:hAnsi="Arial" w:cs="Arial"/>
        </w:rPr>
        <w:t>cavitarias</w:t>
      </w:r>
      <w:proofErr w:type="spellEnd"/>
      <w:r w:rsidR="00E56FF6">
        <w:rPr>
          <w:rFonts w:ascii="Arial" w:hAnsi="Arial" w:cs="Arial"/>
        </w:rPr>
        <w:t>, un 20% ya presentaban cavernas en ambos pulmones y 80% restante en sólo uno de los dos.</w:t>
      </w:r>
    </w:p>
    <w:p w:rsidR="00C51B7C" w:rsidRDefault="00C51B7C" w:rsidP="00C51B7C">
      <w:pPr>
        <w:spacing w:line="480" w:lineRule="auto"/>
        <w:jc w:val="both"/>
        <w:rPr>
          <w:rFonts w:ascii="Arial" w:hAnsi="Arial" w:cs="Arial"/>
        </w:rPr>
      </w:pPr>
    </w:p>
    <w:p w:rsidR="00FA2624" w:rsidRDefault="00C51B7C"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La media del Intervalo Aplicable al Paciente fue de 82,28</w:t>
      </w:r>
      <w:r w:rsidR="00FA2624">
        <w:rPr>
          <w:rFonts w:ascii="Arial" w:hAnsi="Arial" w:cs="Arial"/>
        </w:rPr>
        <w:t xml:space="preserve"> días</w:t>
      </w:r>
      <w:r>
        <w:rPr>
          <w:rFonts w:ascii="Arial" w:hAnsi="Arial" w:cs="Arial"/>
        </w:rPr>
        <w:t>.  Este periodo fue excedido por el 62,7% de los pacientes</w:t>
      </w:r>
      <w:r w:rsidR="00FA2624">
        <w:rPr>
          <w:rFonts w:ascii="Arial" w:hAnsi="Arial" w:cs="Arial"/>
        </w:rPr>
        <w:t>.</w:t>
      </w:r>
    </w:p>
    <w:p w:rsidR="00FA2624" w:rsidRDefault="00FA2624" w:rsidP="00FA2624">
      <w:pPr>
        <w:spacing w:line="480" w:lineRule="auto"/>
        <w:jc w:val="both"/>
        <w:rPr>
          <w:rFonts w:ascii="Arial" w:hAnsi="Arial" w:cs="Arial"/>
        </w:rPr>
      </w:pPr>
    </w:p>
    <w:p w:rsidR="009D6229" w:rsidRDefault="009D6229"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lastRenderedPageBreak/>
        <w:t xml:space="preserve">En el Intervalo Referencial el tiempo promedio fue de </w:t>
      </w:r>
      <w:r w:rsidR="000338F8">
        <w:rPr>
          <w:rFonts w:ascii="Arial" w:hAnsi="Arial" w:cs="Arial"/>
        </w:rPr>
        <w:t>2,15 días. El  9,1% de los pacientes supero el límite de 2 días.</w:t>
      </w:r>
    </w:p>
    <w:p w:rsidR="000338F8" w:rsidRDefault="000338F8" w:rsidP="000338F8">
      <w:pPr>
        <w:spacing w:line="480" w:lineRule="auto"/>
        <w:jc w:val="both"/>
        <w:rPr>
          <w:rFonts w:ascii="Arial" w:hAnsi="Arial" w:cs="Arial"/>
        </w:rPr>
      </w:pPr>
    </w:p>
    <w:p w:rsidR="000338F8" w:rsidRDefault="000338F8"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La media del In</w:t>
      </w:r>
      <w:r w:rsidR="00596FB1">
        <w:rPr>
          <w:rFonts w:ascii="Arial" w:hAnsi="Arial" w:cs="Arial"/>
        </w:rPr>
        <w:t>tervalo diagnóstico fue de 2,92 días</w:t>
      </w:r>
      <w:r>
        <w:rPr>
          <w:rFonts w:ascii="Arial" w:hAnsi="Arial" w:cs="Arial"/>
        </w:rPr>
        <w:t xml:space="preserve">  Este período fue excedido por  </w:t>
      </w:r>
      <w:r w:rsidR="00461263">
        <w:rPr>
          <w:rFonts w:ascii="Arial" w:hAnsi="Arial" w:cs="Arial"/>
        </w:rPr>
        <w:t xml:space="preserve">el </w:t>
      </w:r>
      <w:r>
        <w:rPr>
          <w:rFonts w:ascii="Arial" w:hAnsi="Arial" w:cs="Arial"/>
        </w:rPr>
        <w:t xml:space="preserve">47,3%  </w:t>
      </w:r>
      <w:r w:rsidR="00461263">
        <w:rPr>
          <w:rFonts w:ascii="Arial" w:hAnsi="Arial" w:cs="Arial"/>
        </w:rPr>
        <w:t>de los pacientes.</w:t>
      </w:r>
      <w:r>
        <w:rPr>
          <w:rFonts w:ascii="Arial" w:hAnsi="Arial" w:cs="Arial"/>
        </w:rPr>
        <w:t xml:space="preserve">   </w:t>
      </w:r>
    </w:p>
    <w:p w:rsidR="000338F8" w:rsidRDefault="000338F8" w:rsidP="000338F8">
      <w:pPr>
        <w:spacing w:line="480" w:lineRule="auto"/>
        <w:jc w:val="both"/>
        <w:rPr>
          <w:rFonts w:ascii="Arial" w:hAnsi="Arial" w:cs="Arial"/>
        </w:rPr>
      </w:pPr>
    </w:p>
    <w:p w:rsidR="000338F8" w:rsidRDefault="000338F8"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En el intervalo tratamiento el tiempo promedio fue de 5.13 días, y fue superado por el 74,5% de los pacientes </w:t>
      </w:r>
    </w:p>
    <w:p w:rsidR="009D6229" w:rsidRDefault="009D6229" w:rsidP="009D6229">
      <w:pPr>
        <w:spacing w:line="480" w:lineRule="auto"/>
        <w:jc w:val="both"/>
        <w:rPr>
          <w:rFonts w:ascii="Arial" w:hAnsi="Arial" w:cs="Arial"/>
        </w:rPr>
      </w:pPr>
    </w:p>
    <w:p w:rsidR="00C51B7C" w:rsidRDefault="00FA2624" w:rsidP="0063576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En el Intervalo Aplicable al Sistema Médico</w:t>
      </w:r>
      <w:r w:rsidR="00C51B7C">
        <w:rPr>
          <w:rFonts w:ascii="Arial" w:hAnsi="Arial" w:cs="Arial"/>
        </w:rPr>
        <w:t xml:space="preserve"> </w:t>
      </w:r>
      <w:r>
        <w:rPr>
          <w:rFonts w:ascii="Arial" w:hAnsi="Arial" w:cs="Arial"/>
        </w:rPr>
        <w:t>el tiempo promedio fue de 10,20 días. Se observó que el 62,7% de los pacientes excedió el límite de 4 días.</w:t>
      </w:r>
    </w:p>
    <w:p w:rsidR="00FA2624" w:rsidRDefault="00FA2624" w:rsidP="00FA2624">
      <w:pPr>
        <w:spacing w:line="480" w:lineRule="auto"/>
        <w:jc w:val="both"/>
        <w:rPr>
          <w:rFonts w:ascii="Arial" w:hAnsi="Arial" w:cs="Arial"/>
        </w:rPr>
      </w:pPr>
    </w:p>
    <w:p w:rsidR="00101935" w:rsidRDefault="00FA2624" w:rsidP="00101935">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La media del Intervalo Diagnóstico Total fue de </w:t>
      </w:r>
      <w:r w:rsidR="009D6229">
        <w:rPr>
          <w:rFonts w:ascii="Arial" w:hAnsi="Arial" w:cs="Arial"/>
        </w:rPr>
        <w:t xml:space="preserve">92.49 días.  El 69,1% de los pacientes superó los 34 días establecidos para este periodo. </w:t>
      </w:r>
    </w:p>
    <w:p w:rsidR="00101935" w:rsidRDefault="00101935" w:rsidP="00101935">
      <w:pPr>
        <w:spacing w:line="480" w:lineRule="auto"/>
        <w:jc w:val="both"/>
        <w:rPr>
          <w:rFonts w:ascii="Arial" w:hAnsi="Arial" w:cs="Arial"/>
        </w:rPr>
      </w:pPr>
    </w:p>
    <w:p w:rsidR="00101935" w:rsidRDefault="00812A6D" w:rsidP="007935F7">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Se consideró que el intervalo diagnóstico total aceptable no debe ser mayor a 34 días. </w:t>
      </w:r>
      <w:r w:rsidR="00DA702B">
        <w:rPr>
          <w:rFonts w:ascii="Arial" w:hAnsi="Arial" w:cs="Arial"/>
        </w:rPr>
        <w:t>La</w:t>
      </w:r>
      <w:r w:rsidR="00101935">
        <w:rPr>
          <w:rFonts w:ascii="Arial" w:hAnsi="Arial" w:cs="Arial"/>
        </w:rPr>
        <w:t xml:space="preserve"> mediana del </w:t>
      </w:r>
      <w:r w:rsidR="00DA702B">
        <w:rPr>
          <w:rFonts w:ascii="Arial" w:hAnsi="Arial" w:cs="Arial"/>
        </w:rPr>
        <w:t>periodo</w:t>
      </w:r>
      <w:r w:rsidR="00101935">
        <w:rPr>
          <w:rFonts w:ascii="Arial" w:hAnsi="Arial" w:cs="Arial"/>
        </w:rPr>
        <w:t xml:space="preserve"> diagnóstico total fue de 59,5</w:t>
      </w:r>
      <w:r w:rsidR="00461263">
        <w:rPr>
          <w:rFonts w:ascii="Arial" w:hAnsi="Arial" w:cs="Arial"/>
        </w:rPr>
        <w:t xml:space="preserve"> días</w:t>
      </w:r>
      <w:r w:rsidR="002B201A">
        <w:rPr>
          <w:rFonts w:ascii="Arial" w:hAnsi="Arial" w:cs="Arial"/>
        </w:rPr>
        <w:t xml:space="preserve"> </w:t>
      </w:r>
      <w:r w:rsidR="00101935">
        <w:rPr>
          <w:rFonts w:ascii="Arial" w:hAnsi="Arial" w:cs="Arial"/>
        </w:rPr>
        <w:t xml:space="preserve">lo que muestra </w:t>
      </w:r>
      <w:r w:rsidR="002B201A">
        <w:rPr>
          <w:rFonts w:ascii="Arial" w:hAnsi="Arial" w:cs="Arial"/>
        </w:rPr>
        <w:t>que estamos muy alejados de cumplir con uno de los propósitos básicos de la lucha para el control de esta enfermedad</w:t>
      </w:r>
      <w:r w:rsidR="00461263">
        <w:rPr>
          <w:rFonts w:ascii="Arial" w:hAnsi="Arial" w:cs="Arial"/>
        </w:rPr>
        <w:t>, el cual es el</w:t>
      </w:r>
      <w:r w:rsidR="00101935">
        <w:rPr>
          <w:rFonts w:ascii="Arial" w:hAnsi="Arial" w:cs="Arial"/>
        </w:rPr>
        <w:t xml:space="preserve"> pronóstico temprano que evite la propagación de la misma  y en el caso más grave la muerte del paciente.</w:t>
      </w:r>
    </w:p>
    <w:p w:rsidR="00E22024" w:rsidRDefault="00101935" w:rsidP="00E22024">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El análisis de Contingencia nos permitió establecer cuales eran los factores significativos con cada uno de los intervalos del proceso diagnóstico, las cuales fueron consideradas como influyentes para el modelo de reg</w:t>
      </w:r>
      <w:r w:rsidR="0052025F">
        <w:rPr>
          <w:rFonts w:ascii="Arial" w:hAnsi="Arial" w:cs="Arial"/>
        </w:rPr>
        <w:t>re</w:t>
      </w:r>
      <w:r>
        <w:rPr>
          <w:rFonts w:ascii="Arial" w:hAnsi="Arial" w:cs="Arial"/>
        </w:rPr>
        <w:t>sión</w:t>
      </w:r>
      <w:r w:rsidR="0052025F">
        <w:rPr>
          <w:rFonts w:ascii="Arial" w:hAnsi="Arial" w:cs="Arial"/>
        </w:rPr>
        <w:t xml:space="preserve">. </w:t>
      </w:r>
      <w:r w:rsidR="00E22024">
        <w:rPr>
          <w:rFonts w:ascii="Arial" w:hAnsi="Arial" w:cs="Arial"/>
        </w:rPr>
        <w:t xml:space="preserve"> </w:t>
      </w:r>
    </w:p>
    <w:p w:rsidR="00E22024" w:rsidRDefault="00E22024" w:rsidP="00E22024">
      <w:pPr>
        <w:spacing w:line="480" w:lineRule="auto"/>
        <w:jc w:val="both"/>
        <w:rPr>
          <w:rFonts w:ascii="Arial" w:hAnsi="Arial" w:cs="Arial"/>
        </w:rPr>
      </w:pPr>
    </w:p>
    <w:p w:rsidR="00D11DA1" w:rsidRDefault="00E22024" w:rsidP="00D11DA1">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De los resultados del análisis de contingencia hay que considerar la casi ausencia de factores predictivos en lo que se refiere a la sintomatología ya que solo se obtuvo valores p significativos con la fiebre, disnea y cefalea. Los </w:t>
      </w:r>
      <w:r w:rsidR="0052025F">
        <w:rPr>
          <w:rFonts w:ascii="Arial" w:hAnsi="Arial" w:cs="Arial"/>
        </w:rPr>
        <w:t xml:space="preserve">síntomas más frecuentes como la tos y la expectoración no fueron significativos con ninguno de los intervalos del proceso de diagnóstico. </w:t>
      </w:r>
    </w:p>
    <w:p w:rsidR="00D11DA1" w:rsidRDefault="00D11DA1" w:rsidP="00D11DA1">
      <w:pPr>
        <w:spacing w:line="480" w:lineRule="auto"/>
        <w:jc w:val="both"/>
        <w:rPr>
          <w:rFonts w:ascii="Arial" w:hAnsi="Arial" w:cs="Arial"/>
        </w:rPr>
      </w:pPr>
    </w:p>
    <w:p w:rsidR="00D11DA1" w:rsidRDefault="00D11DA1" w:rsidP="007935F7">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Después de la regresión logística se obtuvo que de los factores más influyentes, la cobertura por seguro militar y hospitalizado para manejo tuberculoso fueron los agentes que más contribuyeron al retraso del diagnóstico total.</w:t>
      </w:r>
    </w:p>
    <w:p w:rsidR="007935F7" w:rsidRDefault="007935F7" w:rsidP="007935F7">
      <w:pPr>
        <w:spacing w:line="480" w:lineRule="auto"/>
        <w:jc w:val="both"/>
        <w:rPr>
          <w:rFonts w:ascii="Arial" w:hAnsi="Arial" w:cs="Arial"/>
        </w:rPr>
      </w:pPr>
    </w:p>
    <w:p w:rsidR="00624EDD" w:rsidRDefault="007935F7" w:rsidP="0050775E">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 xml:space="preserve">La oportunidad de incurrir en un retraso en el diagnóstico total para un paciente que tiene como único factor de </w:t>
      </w:r>
      <w:r w:rsidR="00624EDD">
        <w:rPr>
          <w:rFonts w:ascii="Arial" w:hAnsi="Arial" w:cs="Arial"/>
        </w:rPr>
        <w:t xml:space="preserve">riesgos la no cobertura del seguro militar es </w:t>
      </w:r>
      <w:r w:rsidR="0050775E">
        <w:rPr>
          <w:rFonts w:ascii="Arial" w:hAnsi="Arial" w:cs="Arial"/>
        </w:rPr>
        <w:t>mayor en</w:t>
      </w:r>
      <w:r w:rsidR="00624EDD">
        <w:rPr>
          <w:rFonts w:ascii="Arial" w:hAnsi="Arial" w:cs="Arial"/>
        </w:rPr>
        <w:t xml:space="preserve"> 4.059 </w:t>
      </w:r>
      <w:r w:rsidR="0050775E">
        <w:rPr>
          <w:rFonts w:ascii="Arial" w:hAnsi="Arial" w:cs="Arial"/>
        </w:rPr>
        <w:t xml:space="preserve"> veces </w:t>
      </w:r>
      <w:r w:rsidR="00624EDD">
        <w:rPr>
          <w:rFonts w:ascii="Arial" w:hAnsi="Arial" w:cs="Arial"/>
        </w:rPr>
        <w:t>que si el paciente contara con el debido seguro.</w:t>
      </w:r>
    </w:p>
    <w:p w:rsidR="0050775E" w:rsidRDefault="0050775E" w:rsidP="0050775E">
      <w:pPr>
        <w:spacing w:line="480" w:lineRule="auto"/>
        <w:jc w:val="both"/>
        <w:rPr>
          <w:rFonts w:ascii="Arial" w:hAnsi="Arial" w:cs="Arial"/>
        </w:rPr>
      </w:pPr>
    </w:p>
    <w:p w:rsidR="0050775E" w:rsidRDefault="0050775E" w:rsidP="0050775E">
      <w:pPr>
        <w:spacing w:line="480" w:lineRule="auto"/>
        <w:jc w:val="both"/>
        <w:rPr>
          <w:rFonts w:ascii="Arial" w:hAnsi="Arial" w:cs="Arial"/>
        </w:rPr>
      </w:pPr>
    </w:p>
    <w:p w:rsidR="00624EDD" w:rsidRDefault="00624EDD" w:rsidP="00624EDD">
      <w:pPr>
        <w:numPr>
          <w:ilvl w:val="0"/>
          <w:numId w:val="1"/>
        </w:numPr>
        <w:tabs>
          <w:tab w:val="clear" w:pos="720"/>
          <w:tab w:val="num" w:pos="0"/>
        </w:tabs>
        <w:spacing w:line="480" w:lineRule="auto"/>
        <w:ind w:left="0" w:firstLine="0"/>
        <w:jc w:val="both"/>
        <w:rPr>
          <w:rFonts w:ascii="Arial" w:hAnsi="Arial" w:cs="Arial"/>
        </w:rPr>
      </w:pPr>
      <w:r>
        <w:rPr>
          <w:rFonts w:ascii="Arial" w:hAnsi="Arial" w:cs="Arial"/>
        </w:rPr>
        <w:t>La oportunidad de incurrir en un retraso en el diagnóstico total para un paciente que tiene como único factor de riesgo el ser hospitalizado para manejo tuberculoso</w:t>
      </w:r>
      <w:r w:rsidR="0050775E">
        <w:rPr>
          <w:rFonts w:ascii="Arial" w:hAnsi="Arial" w:cs="Arial"/>
        </w:rPr>
        <w:t xml:space="preserve"> es mayor en 9,439 veces que para aquellos que no fueron hospitalizados.</w:t>
      </w:r>
    </w:p>
    <w:p w:rsidR="00624EDD" w:rsidRDefault="00624EDD" w:rsidP="00624EDD">
      <w:pPr>
        <w:spacing w:line="480" w:lineRule="auto"/>
        <w:jc w:val="both"/>
        <w:rPr>
          <w:rFonts w:ascii="Arial" w:hAnsi="Arial" w:cs="Arial"/>
        </w:rPr>
      </w:pPr>
    </w:p>
    <w:p w:rsidR="007935F7" w:rsidRDefault="007935F7" w:rsidP="007935F7">
      <w:pPr>
        <w:spacing w:line="480" w:lineRule="auto"/>
        <w:jc w:val="both"/>
        <w:rPr>
          <w:rFonts w:ascii="Arial" w:hAnsi="Arial" w:cs="Arial"/>
        </w:rPr>
      </w:pPr>
    </w:p>
    <w:p w:rsidR="007935F7" w:rsidRDefault="007935F7" w:rsidP="007935F7">
      <w:pPr>
        <w:spacing w:line="480" w:lineRule="auto"/>
        <w:ind w:left="360"/>
        <w:jc w:val="both"/>
        <w:rPr>
          <w:rFonts w:ascii="Arial" w:hAnsi="Arial" w:cs="Arial"/>
        </w:rPr>
      </w:pPr>
    </w:p>
    <w:p w:rsidR="007935F7" w:rsidRDefault="007935F7" w:rsidP="00D11DA1">
      <w:pPr>
        <w:spacing w:line="480" w:lineRule="auto"/>
        <w:jc w:val="both"/>
        <w:rPr>
          <w:rFonts w:ascii="Arial" w:hAnsi="Arial" w:cs="Arial"/>
        </w:rPr>
      </w:pPr>
    </w:p>
    <w:p w:rsidR="006401C8" w:rsidRDefault="006401C8" w:rsidP="00D11DA1">
      <w:pPr>
        <w:spacing w:line="480" w:lineRule="auto"/>
        <w:jc w:val="both"/>
        <w:rPr>
          <w:rFonts w:ascii="Arial" w:hAnsi="Arial" w:cs="Arial"/>
        </w:rPr>
      </w:pPr>
    </w:p>
    <w:p w:rsidR="00E22024" w:rsidRDefault="00E22024" w:rsidP="00E22024">
      <w:pPr>
        <w:spacing w:line="480" w:lineRule="auto"/>
        <w:jc w:val="both"/>
        <w:rPr>
          <w:rFonts w:ascii="Arial" w:hAnsi="Arial" w:cs="Arial"/>
        </w:rPr>
      </w:pPr>
    </w:p>
    <w:p w:rsidR="00E22024" w:rsidRDefault="00E22024" w:rsidP="00E22024">
      <w:pPr>
        <w:spacing w:line="480" w:lineRule="auto"/>
        <w:jc w:val="both"/>
        <w:rPr>
          <w:rFonts w:ascii="Arial" w:hAnsi="Arial" w:cs="Arial"/>
        </w:rPr>
      </w:pPr>
    </w:p>
    <w:p w:rsidR="001079DC" w:rsidRDefault="001079DC" w:rsidP="001079DC">
      <w:pPr>
        <w:spacing w:line="480" w:lineRule="auto"/>
        <w:jc w:val="both"/>
        <w:rPr>
          <w:rFonts w:ascii="Arial" w:hAnsi="Arial" w:cs="Arial"/>
        </w:rPr>
      </w:pPr>
    </w:p>
    <w:p w:rsidR="001D3306" w:rsidRDefault="001D3306"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p w:rsidR="006B1E7D" w:rsidRDefault="006B1E7D" w:rsidP="006B1E7D">
      <w:pPr>
        <w:spacing w:line="480" w:lineRule="auto"/>
        <w:jc w:val="center"/>
        <w:rPr>
          <w:rFonts w:ascii="Arial" w:hAnsi="Arial" w:cs="Arial"/>
          <w:b/>
          <w:sz w:val="52"/>
          <w:szCs w:val="52"/>
        </w:rPr>
      </w:pPr>
      <w:r>
        <w:rPr>
          <w:rFonts w:ascii="Arial" w:hAnsi="Arial" w:cs="Arial"/>
          <w:b/>
          <w:sz w:val="52"/>
          <w:szCs w:val="52"/>
        </w:rPr>
        <w:t>RECOMENDACIONES</w:t>
      </w:r>
    </w:p>
    <w:p w:rsidR="006B1E7D" w:rsidRPr="006B1E7D" w:rsidRDefault="006401C8" w:rsidP="006B1E7D">
      <w:pPr>
        <w:numPr>
          <w:ilvl w:val="0"/>
          <w:numId w:val="2"/>
        </w:numPr>
        <w:tabs>
          <w:tab w:val="clear" w:pos="1440"/>
          <w:tab w:val="num" w:pos="540"/>
        </w:tabs>
        <w:spacing w:line="480" w:lineRule="auto"/>
        <w:ind w:left="540" w:hanging="540"/>
        <w:jc w:val="both"/>
        <w:rPr>
          <w:rFonts w:ascii="Arial" w:hAnsi="Arial" w:cs="Arial"/>
          <w:b/>
        </w:rPr>
      </w:pPr>
      <w:r>
        <w:rPr>
          <w:rFonts w:ascii="Arial" w:hAnsi="Arial" w:cs="Arial"/>
        </w:rPr>
        <w:t>Emprender un programa</w:t>
      </w:r>
      <w:r w:rsidR="006B1E7D">
        <w:rPr>
          <w:rFonts w:ascii="Arial" w:hAnsi="Arial" w:cs="Arial"/>
        </w:rPr>
        <w:t xml:space="preserve"> de educación que informe a la población sobre la transmisión, la sintomatología, prevención y tratamiento de la enfermedad con la finalidad de disminuir la propagación de la misma.</w:t>
      </w:r>
    </w:p>
    <w:p w:rsidR="006B1E7D" w:rsidRPr="006B1E7D" w:rsidRDefault="006B1E7D" w:rsidP="006B1E7D">
      <w:pPr>
        <w:spacing w:line="480" w:lineRule="auto"/>
        <w:jc w:val="both"/>
        <w:rPr>
          <w:rFonts w:ascii="Arial" w:hAnsi="Arial" w:cs="Arial"/>
          <w:b/>
        </w:rPr>
      </w:pPr>
    </w:p>
    <w:p w:rsidR="006401C8" w:rsidRPr="006401C8" w:rsidRDefault="006B1E7D" w:rsidP="006B1E7D">
      <w:pPr>
        <w:numPr>
          <w:ilvl w:val="0"/>
          <w:numId w:val="2"/>
        </w:numPr>
        <w:tabs>
          <w:tab w:val="clear" w:pos="1440"/>
          <w:tab w:val="num" w:pos="540"/>
        </w:tabs>
        <w:spacing w:line="480" w:lineRule="auto"/>
        <w:ind w:left="540" w:hanging="540"/>
        <w:jc w:val="both"/>
        <w:rPr>
          <w:rFonts w:ascii="Arial" w:hAnsi="Arial" w:cs="Arial"/>
          <w:b/>
        </w:rPr>
      </w:pPr>
      <w:r>
        <w:rPr>
          <w:rFonts w:ascii="Arial" w:hAnsi="Arial" w:cs="Arial"/>
        </w:rPr>
        <w:t xml:space="preserve">Al Hospital se le recomienda que </w:t>
      </w:r>
      <w:r w:rsidR="006401C8">
        <w:rPr>
          <w:rFonts w:ascii="Arial" w:hAnsi="Arial" w:cs="Arial"/>
        </w:rPr>
        <w:t>establezca un plan de cobertura médica para los pacientes civiles.</w:t>
      </w:r>
    </w:p>
    <w:p w:rsidR="006401C8" w:rsidRDefault="006401C8" w:rsidP="006401C8">
      <w:pPr>
        <w:spacing w:line="480" w:lineRule="auto"/>
        <w:jc w:val="both"/>
        <w:rPr>
          <w:rFonts w:ascii="Arial" w:hAnsi="Arial" w:cs="Arial"/>
        </w:rPr>
      </w:pPr>
    </w:p>
    <w:p w:rsidR="006B1E7D" w:rsidRPr="006B1E7D" w:rsidRDefault="006401C8" w:rsidP="006401C8">
      <w:pPr>
        <w:spacing w:line="480" w:lineRule="auto"/>
        <w:jc w:val="both"/>
        <w:rPr>
          <w:rFonts w:ascii="Arial" w:hAnsi="Arial" w:cs="Arial"/>
          <w:b/>
        </w:rPr>
      </w:pPr>
      <w:r>
        <w:rPr>
          <w:rFonts w:ascii="Arial" w:hAnsi="Arial" w:cs="Arial"/>
        </w:rPr>
        <w:t xml:space="preserve"> </w:t>
      </w:r>
    </w:p>
    <w:p w:rsidR="006B1E7D" w:rsidRDefault="006B1E7D"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p w:rsidR="006B1E7D" w:rsidRDefault="006B1E7D" w:rsidP="001D3306">
      <w:pPr>
        <w:spacing w:line="480" w:lineRule="auto"/>
        <w:jc w:val="both"/>
        <w:rPr>
          <w:rFonts w:ascii="Arial" w:hAnsi="Arial" w:cs="Arial"/>
        </w:rPr>
      </w:pPr>
    </w:p>
    <w:sectPr w:rsidR="006B1E7D" w:rsidSect="00140FE4">
      <w:headerReference w:type="default" r:id="rId7"/>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33" w:rsidRDefault="008F0233" w:rsidP="008F0233">
      <w:r>
        <w:separator/>
      </w:r>
    </w:p>
  </w:endnote>
  <w:endnote w:type="continuationSeparator" w:id="1">
    <w:p w:rsidR="008F0233" w:rsidRDefault="008F0233" w:rsidP="008F0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33" w:rsidRDefault="008F0233" w:rsidP="008F0233">
      <w:r>
        <w:separator/>
      </w:r>
    </w:p>
  </w:footnote>
  <w:footnote w:type="continuationSeparator" w:id="1">
    <w:p w:rsidR="008F0233" w:rsidRDefault="008F0233" w:rsidP="008F0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33" w:rsidRDefault="008F0233">
    <w:pPr>
      <w:pStyle w:val="Encabezado"/>
      <w:rPr>
        <w:lang w:val="en-US"/>
      </w:rPr>
    </w:pPr>
    <w:r w:rsidRPr="008F0233">
      <w:rPr>
        <w:lang w:val="en-US"/>
      </w:rPr>
      <w:t>Generated by Unregistered Batch DOC &amp; DOCX Converter 2009.1.624.1174, please register!</w:t>
    </w:r>
  </w:p>
  <w:p w:rsidR="008F0233" w:rsidRPr="008F0233" w:rsidRDefault="008F0233">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o:bullet="t">
        <v:imagedata r:id="rId1" o:title="BD21298_"/>
      </v:shape>
    </w:pict>
  </w:numPicBullet>
  <w:abstractNum w:abstractNumId="0">
    <w:nsid w:val="46F61337"/>
    <w:multiLevelType w:val="hybridMultilevel"/>
    <w:tmpl w:val="FBC8C6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854134"/>
    <w:multiLevelType w:val="hybridMultilevel"/>
    <w:tmpl w:val="450A23DE"/>
    <w:lvl w:ilvl="0" w:tplc="B7DE77D6">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530"/>
    <w:rsid w:val="00030D85"/>
    <w:rsid w:val="000338F8"/>
    <w:rsid w:val="00040C08"/>
    <w:rsid w:val="00070CF8"/>
    <w:rsid w:val="000B7CC0"/>
    <w:rsid w:val="00101935"/>
    <w:rsid w:val="001079DC"/>
    <w:rsid w:val="00140FE4"/>
    <w:rsid w:val="00160DFE"/>
    <w:rsid w:val="001B6ADE"/>
    <w:rsid w:val="001C6A26"/>
    <w:rsid w:val="001D3306"/>
    <w:rsid w:val="00223FE8"/>
    <w:rsid w:val="002B201A"/>
    <w:rsid w:val="002E123C"/>
    <w:rsid w:val="003142EF"/>
    <w:rsid w:val="00404595"/>
    <w:rsid w:val="00461263"/>
    <w:rsid w:val="004A3530"/>
    <w:rsid w:val="0050775E"/>
    <w:rsid w:val="005138C1"/>
    <w:rsid w:val="0052025F"/>
    <w:rsid w:val="00596FB1"/>
    <w:rsid w:val="005D6160"/>
    <w:rsid w:val="00624EDD"/>
    <w:rsid w:val="00635761"/>
    <w:rsid w:val="006401C8"/>
    <w:rsid w:val="00676581"/>
    <w:rsid w:val="006B1E7D"/>
    <w:rsid w:val="007935F7"/>
    <w:rsid w:val="007E0F1F"/>
    <w:rsid w:val="007F4432"/>
    <w:rsid w:val="00812A6D"/>
    <w:rsid w:val="00841EC0"/>
    <w:rsid w:val="008F0233"/>
    <w:rsid w:val="009112F5"/>
    <w:rsid w:val="009D4268"/>
    <w:rsid w:val="009D6229"/>
    <w:rsid w:val="00A05B89"/>
    <w:rsid w:val="00A40302"/>
    <w:rsid w:val="00B43587"/>
    <w:rsid w:val="00B9320D"/>
    <w:rsid w:val="00BB1922"/>
    <w:rsid w:val="00BD78B2"/>
    <w:rsid w:val="00BF181E"/>
    <w:rsid w:val="00C51B7C"/>
    <w:rsid w:val="00CE6830"/>
    <w:rsid w:val="00D11DA1"/>
    <w:rsid w:val="00D33B35"/>
    <w:rsid w:val="00DA702B"/>
    <w:rsid w:val="00DE56F9"/>
    <w:rsid w:val="00E22024"/>
    <w:rsid w:val="00E23072"/>
    <w:rsid w:val="00E34E32"/>
    <w:rsid w:val="00E56FF6"/>
    <w:rsid w:val="00F64A67"/>
    <w:rsid w:val="00F81B54"/>
    <w:rsid w:val="00FA26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demalu">
    <w:name w:val="de malu"/>
    <w:basedOn w:val="Tablanormal"/>
    <w:rsid w:val="00223FE8"/>
    <w:pPr>
      <w:jc w:val="center"/>
    </w:pPr>
    <w:rPr>
      <w:rFonts w:ascii="Arial" w:hAnsi="Arial"/>
      <w:b/>
      <w:color w:val="000080"/>
      <w:sz w:val="24"/>
    </w:rPr>
    <w:tblPr>
      <w:tblInd w:w="0" w:type="dxa"/>
      <w:tblBorders>
        <w:top w:val="threeDEmboss" w:sz="6" w:space="0" w:color="99CCFF"/>
        <w:left w:val="threeDEmboss" w:sz="6" w:space="0" w:color="99CCFF"/>
        <w:bottom w:val="threeDEmboss" w:sz="6" w:space="0" w:color="99CCFF"/>
        <w:right w:val="threeDEmboss" w:sz="6" w:space="0" w:color="99CCFF"/>
        <w:insideH w:val="threeDEmboss" w:sz="6" w:space="0" w:color="99CCFF"/>
        <w:insideV w:val="threeDEmboss" w:sz="6" w:space="0" w:color="99CCFF"/>
      </w:tblBorders>
      <w:tblCellMar>
        <w:top w:w="0" w:type="dxa"/>
        <w:left w:w="108" w:type="dxa"/>
        <w:bottom w:w="0" w:type="dxa"/>
        <w:right w:w="108" w:type="dxa"/>
      </w:tblCellMar>
    </w:tblPr>
    <w:tcPr>
      <w:shd w:val="clear" w:color="auto" w:fill="E6E6E6"/>
      <w:vAlign w:val="center"/>
    </w:tcPr>
  </w:style>
  <w:style w:type="table" w:customStyle="1" w:styleId="Estilodetabla1">
    <w:name w:val="Estilo de tabla1"/>
    <w:basedOn w:val="Tablanormal"/>
    <w:rsid w:val="00BD78B2"/>
    <w:rPr>
      <w:rFonts w:ascii="Trebuchet MS" w:hAnsi="Trebuchet MS"/>
      <w:b/>
      <w:i/>
      <w:color w:val="666699"/>
      <w:sz w:val="28"/>
      <w:szCs w:val="28"/>
      <w:effect w:val="blinkBackground"/>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2">
    <w:name w:val="de malu 2"/>
    <w:basedOn w:val="Tablanormal"/>
    <w:rsid w:val="00BD78B2"/>
    <w:rPr>
      <w:rFonts w:ascii="Trebuchet MS" w:hAnsi="Trebuchet MS"/>
      <w:b/>
      <w:i/>
      <w:color w:val="666699"/>
      <w:sz w:val="28"/>
      <w:szCs w:val="28"/>
    </w:rPr>
    <w:tblPr>
      <w:tblInd w:w="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CellMar>
        <w:top w:w="0" w:type="dxa"/>
        <w:left w:w="108" w:type="dxa"/>
        <w:bottom w:w="0" w:type="dxa"/>
        <w:right w:w="108" w:type="dxa"/>
      </w:tblCellMar>
    </w:tblPr>
    <w:tcPr>
      <w:shd w:val="clear" w:color="auto" w:fill="C0D8F0"/>
      <w:vAlign w:val="center"/>
    </w:tcPr>
  </w:style>
  <w:style w:type="table" w:customStyle="1" w:styleId="demalu3">
    <w:name w:val="de malu 3"/>
    <w:basedOn w:val="Tablaconcuadrcula"/>
    <w:rsid w:val="000B7CC0"/>
    <w:pPr>
      <w:jc w:val="center"/>
    </w:pPr>
    <w:rPr>
      <w:rFonts w:ascii="Trebuchet MS" w:hAnsi="Trebuchet MS"/>
      <w:b/>
    </w:rPr>
    <w:tblPr>
      <w:tblInd w:w="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CellMar>
        <w:top w:w="0" w:type="dxa"/>
        <w:left w:w="108" w:type="dxa"/>
        <w:bottom w:w="0" w:type="dxa"/>
        <w:right w:w="108" w:type="dxa"/>
      </w:tblCellMar>
    </w:tblPr>
    <w:tcPr>
      <w:vAlign w:val="center"/>
    </w:tcPr>
  </w:style>
  <w:style w:type="table" w:styleId="Tablaconcuadrcula">
    <w:name w:val="Table Grid"/>
    <w:basedOn w:val="Tablanormal"/>
    <w:rsid w:val="000B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F0233"/>
    <w:pPr>
      <w:tabs>
        <w:tab w:val="center" w:pos="4252"/>
        <w:tab w:val="right" w:pos="8504"/>
      </w:tabs>
    </w:pPr>
  </w:style>
  <w:style w:type="character" w:customStyle="1" w:styleId="EncabezadoCar">
    <w:name w:val="Encabezado Car"/>
    <w:basedOn w:val="Fuentedeprrafopredeter"/>
    <w:link w:val="Encabezado"/>
    <w:uiPriority w:val="99"/>
    <w:semiHidden/>
    <w:rsid w:val="008F0233"/>
    <w:rPr>
      <w:sz w:val="24"/>
      <w:szCs w:val="24"/>
    </w:rPr>
  </w:style>
  <w:style w:type="paragraph" w:styleId="Piedepgina">
    <w:name w:val="footer"/>
    <w:basedOn w:val="Normal"/>
    <w:link w:val="PiedepginaCar"/>
    <w:uiPriority w:val="99"/>
    <w:semiHidden/>
    <w:unhideWhenUsed/>
    <w:rsid w:val="008F0233"/>
    <w:pPr>
      <w:tabs>
        <w:tab w:val="center" w:pos="4252"/>
        <w:tab w:val="right" w:pos="8504"/>
      </w:tabs>
    </w:pPr>
  </w:style>
  <w:style w:type="character" w:customStyle="1" w:styleId="PiedepginaCar">
    <w:name w:val="Pie de página Car"/>
    <w:basedOn w:val="Fuentedeprrafopredeter"/>
    <w:link w:val="Piedepgina"/>
    <w:uiPriority w:val="99"/>
    <w:semiHidden/>
    <w:rsid w:val="008F02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cp:lastModifiedBy>Ayudante</cp:lastModifiedBy>
  <cp:revision>1</cp:revision>
  <cp:lastPrinted>2001-02-09T01:34:00Z</cp:lastPrinted>
  <dcterms:created xsi:type="dcterms:W3CDTF">2009-07-06T15:48:00Z</dcterms:created>
  <dcterms:modified xsi:type="dcterms:W3CDTF">2009-07-06T15:48:00Z</dcterms:modified>
</cp:coreProperties>
</file>